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344"/>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353"/>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344"/>
        <w:rPr>
          <w:color w:val="000000"/>
          <w:highlight w:val="none"/>
        </w:rPr>
      </w:pPr>
      <w:r>
        <w:rPr>
          <w:color w:val="000000"/>
          <w:highlight w:val="none"/>
        </w:rPr>
      </w:r>
      <w:r/>
    </w:p>
    <w:p>
      <w:pPr>
        <w:pStyle w:val="1353"/>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4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4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4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4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无锡市锡山人民医院东亭分院改扩建项目医用气体采购项目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JSZC-320205-JZCG-G2026-0028</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无锡市锡山区重点建设项目管理中心</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七</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十四</w:t>
      </w:r>
      <w:bookmarkStart w:id="56" w:name="_GoBack"/>
      <w:r/>
      <w:bookmarkEnd w:id="56"/>
      <w:r>
        <w:rPr>
          <w:rFonts w:hint="eastAsia" w:ascii="宋体" w:hAnsi="宋体"/>
          <w:b/>
          <w:color w:val="000000"/>
          <w:sz w:val="40"/>
          <w:szCs w:val="40"/>
          <w:highlight w:val="none"/>
        </w:rPr>
        <w:t xml:space="preserve">日</w:t>
      </w:r>
      <w:r/>
    </w:p>
    <w:p>
      <w:pPr>
        <w:rPr>
          <w:rStyle w:val="1386"/>
          <w:rFonts w:eastAsia="黑体"/>
          <w:bCs/>
          <w:sz w:val="48"/>
          <w:highlight w:val="none"/>
        </w:rPr>
      </w:pPr>
      <w:r>
        <w:rPr>
          <w:rFonts w:eastAsia="黑体"/>
          <w:bCs/>
          <w:sz w:val="48"/>
          <w:highlight w:val="none"/>
        </w:rPr>
      </w:r>
      <w:r/>
    </w:p>
    <w:p>
      <w:pPr>
        <w:rPr>
          <w:rStyle w:val="1386"/>
          <w:rFonts w:eastAsia="黑体"/>
          <w:bCs/>
          <w:sz w:val="48"/>
          <w:highlight w:val="none"/>
        </w:rPr>
      </w:pPr>
      <w:r>
        <w:rPr>
          <w:rFonts w:eastAsia="黑体"/>
          <w:bCs/>
          <w:sz w:val="48"/>
          <w:highlight w:val="none"/>
        </w:rPr>
      </w:r>
      <w:r/>
    </w:p>
    <w:p>
      <w:pPr>
        <w:rPr>
          <w:rStyle w:val="1386"/>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386"/>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344"/>
        <w:rPr>
          <w:color w:val="000000"/>
          <w:highlight w:val="none"/>
        </w:rPr>
      </w:pPr>
      <w:r>
        <w:rPr>
          <w:color w:val="000000"/>
          <w:highlight w:val="none"/>
        </w:rPr>
      </w:r>
      <w:r/>
    </w:p>
    <w:p>
      <w:pPr>
        <w:pStyle w:val="1366"/>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366"/>
        <w:rPr>
          <w:rFonts w:ascii="宋体" w:hAnsi="宋体" w:eastAsia="宋体"/>
          <w:bCs/>
          <w:color w:val="000000"/>
          <w:highlight w:val="none"/>
        </w:rPr>
      </w:pPr>
      <w:r>
        <w:rPr>
          <w:rFonts w:ascii="宋体" w:hAnsi="宋体" w:eastAsia="宋体"/>
          <w:bCs/>
          <w:color w:val="000000"/>
          <w:highlight w:val="none"/>
        </w:rPr>
      </w:r>
      <w:r/>
    </w:p>
    <w:p>
      <w:pPr>
        <w:pStyle w:val="1366"/>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366"/>
        <w:rPr>
          <w:rFonts w:ascii="宋体" w:hAnsi="宋体" w:eastAsia="宋体"/>
          <w:bCs/>
          <w:color w:val="000000"/>
          <w:highlight w:val="none"/>
        </w:rPr>
      </w:pPr>
      <w:r>
        <w:rPr>
          <w:rFonts w:ascii="宋体" w:hAnsi="宋体" w:eastAsia="宋体"/>
          <w:bCs/>
          <w:color w:val="000000"/>
          <w:highlight w:val="none"/>
        </w:rPr>
      </w:r>
      <w:r/>
    </w:p>
    <w:p>
      <w:pPr>
        <w:pStyle w:val="136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23</w:t>
      </w:r>
      <w:r/>
    </w:p>
    <w:p>
      <w:pPr>
        <w:pStyle w:val="1366"/>
        <w:rPr>
          <w:rFonts w:ascii="宋体" w:hAnsi="宋体" w:eastAsia="宋体"/>
          <w:bCs/>
          <w:color w:val="000000"/>
          <w:highlight w:val="none"/>
        </w:rPr>
      </w:pPr>
      <w:r>
        <w:rPr>
          <w:rFonts w:ascii="宋体" w:hAnsi="宋体" w:eastAsia="宋体"/>
          <w:bCs/>
          <w:color w:val="000000"/>
          <w:highlight w:val="none"/>
        </w:rPr>
      </w:r>
      <w:r/>
    </w:p>
    <w:p>
      <w:pPr>
        <w:pStyle w:val="136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48</w:t>
      </w:r>
      <w:r/>
    </w:p>
    <w:p>
      <w:pPr>
        <w:pStyle w:val="1366"/>
        <w:ind w:firstLine="320"/>
        <w:jc w:val="both"/>
        <w:rPr>
          <w:rFonts w:ascii="宋体" w:hAnsi="宋体" w:eastAsia="宋体"/>
          <w:bCs/>
          <w:color w:val="000000"/>
          <w:highlight w:val="none"/>
        </w:rPr>
      </w:pPr>
      <w:r>
        <w:rPr>
          <w:rFonts w:ascii="宋体" w:hAnsi="宋体" w:eastAsia="宋体"/>
          <w:bCs/>
          <w:color w:val="000000"/>
          <w:highlight w:val="none"/>
        </w:rPr>
      </w:r>
      <w:r/>
    </w:p>
    <w:p>
      <w:pPr>
        <w:pStyle w:val="136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75</w:t>
      </w:r>
      <w:r/>
    </w:p>
    <w:p>
      <w:pPr>
        <w:pStyle w:val="1344"/>
        <w:rPr>
          <w:color w:val="000000"/>
          <w:highlight w:val="none"/>
        </w:rPr>
      </w:pPr>
      <w:r>
        <w:rPr>
          <w:color w:val="000000"/>
          <w:highlight w:val="none"/>
        </w:rPr>
      </w:r>
      <w:r/>
    </w:p>
    <w:p>
      <w:pPr>
        <w:pStyle w:val="1366"/>
        <w:rPr>
          <w:rFonts w:ascii="宋体" w:hAnsi="宋体" w:eastAsia="宋体"/>
          <w:bCs/>
          <w:color w:val="000000"/>
          <w:highlight w:val="none"/>
        </w:rPr>
      </w:pPr>
      <w:r>
        <w:rPr>
          <w:rFonts w:ascii="宋体" w:hAnsi="宋体" w:eastAsia="宋体"/>
          <w:bCs/>
          <w:color w:val="000000"/>
          <w:highlight w:val="none"/>
        </w:rPr>
      </w:r>
      <w:r/>
    </w:p>
    <w:p>
      <w:pPr>
        <w:pStyle w:val="1366"/>
        <w:rPr>
          <w:rFonts w:ascii="宋体" w:hAnsi="宋体" w:eastAsia="宋体"/>
          <w:bCs/>
          <w:color w:val="000000"/>
          <w:highlight w:val="none"/>
        </w:rPr>
      </w:pPr>
      <w:r>
        <w:rPr>
          <w:rFonts w:ascii="宋体" w:hAnsi="宋体" w:eastAsia="宋体"/>
          <w:bCs/>
          <w:color w:val="000000"/>
          <w:highlight w:val="none"/>
        </w:rPr>
      </w:r>
      <w:r/>
    </w:p>
    <w:p>
      <w:pPr>
        <w:pStyle w:val="1366"/>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392"/>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144"/>
        <w:rPr>
          <w:rStyle w:val="1392"/>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无锡市锡山区重点建设项目管理中心</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无锡市锡山人民医院东亭分院改扩建项目医用气体采购项目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无锡市锡山人民医院东亭分院改扩建项目医用气体采购项目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JSZC-320205-JZCG-G2026-0028</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650</w:t>
      </w:r>
      <w:r>
        <w:rPr>
          <w:rFonts w:hint="eastAsia" w:ascii="宋体" w:hAnsi="宋体" w:eastAsia="宋体" w:cs="宋体"/>
          <w:color w:val="000000"/>
          <w:sz w:val="24"/>
          <w:szCs w:val="24"/>
          <w:highlight w:val="none"/>
        </w:rPr>
        <w:t xml:space="preserve">万元，投标最高限价为</w:t>
      </w:r>
      <w:bookmarkStart w:id="0" w:name="OLE_LINK19"/>
      <w:r>
        <w:rPr>
          <w:rFonts w:hint="eastAsia" w:ascii="宋体" w:hAnsi="宋体" w:eastAsia="宋体" w:cs="宋体"/>
          <w:bCs/>
          <w:sz w:val="24"/>
          <w:szCs w:val="24"/>
          <w:highlight w:val="none"/>
          <w:lang w:val="en-US" w:eastAsia="zh-CN"/>
        </w:rPr>
        <w:t xml:space="preserve">403.6296</w:t>
      </w:r>
      <w:r>
        <w:rPr>
          <w:rFonts w:hint="eastAsia" w:ascii="宋体" w:hAnsi="宋体" w:eastAsia="宋体" w:cs="宋体"/>
          <w:color w:val="000000"/>
          <w:sz w:val="24"/>
          <w:szCs w:val="24"/>
          <w:highlight w:val="none"/>
        </w:rPr>
        <w:t xml:space="preserve">万元</w:t>
      </w:r>
      <w:bookmarkEnd w:id="0"/>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投标报价不得超过最高限价，否则作无效响应文件处理。</w:t>
      </w:r>
      <w:r/>
    </w:p>
    <w:p>
      <w:pPr>
        <w:ind w:firstLine="48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4.合同履约期限：</w:t>
      </w:r>
      <w:bookmarkStart w:id="1" w:name="OLE_LINK20"/>
      <w:r>
        <w:rPr>
          <w:rFonts w:hint="eastAsia" w:ascii="宋体" w:hAnsi="宋体" w:eastAsia="宋体" w:cs="宋体"/>
          <w:color w:val="000000"/>
          <w:sz w:val="24"/>
          <w:szCs w:val="24"/>
          <w:highlight w:val="none"/>
        </w:rPr>
        <w:t xml:space="preserve">采购合同签订后</w:t>
      </w:r>
      <w:r>
        <w:rPr>
          <w:rFonts w:hint="eastAsia" w:ascii="宋体" w:hAnsi="宋体" w:eastAsia="宋体" w:cs="宋体"/>
          <w:color w:val="000000"/>
          <w:sz w:val="24"/>
          <w:szCs w:val="24"/>
          <w:highlight w:val="none"/>
          <w:lang w:val="en-US" w:eastAsia="zh-CN"/>
        </w:rPr>
        <w:t xml:space="preserve">270</w:t>
      </w:r>
      <w:r>
        <w:rPr>
          <w:rFonts w:hint="eastAsia" w:ascii="宋体" w:hAnsi="宋体" w:eastAsia="宋体" w:cs="宋体"/>
          <w:color w:val="000000"/>
          <w:sz w:val="24"/>
          <w:szCs w:val="24"/>
          <w:highlight w:val="none"/>
        </w:rPr>
        <w:t xml:space="preserve">个日历天全部供货及安装完毕，并配合完成全部验收工作。</w:t>
      </w:r>
      <w:bookmarkEnd w:id="1"/>
      <w:r/>
    </w:p>
    <w:p>
      <w:pPr>
        <w:contextualSpacing/>
        <w:ind w:firstLine="42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5.项目整体免费质保期：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质保期叁年，自交付使用之日起计算。</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.本项目是否专门面向</w:t>
      </w:r>
      <w:r>
        <w:rPr>
          <w:rFonts w:hint="eastAsia" w:ascii="宋体" w:hAnsi="宋体" w:eastAsia="宋体" w:cs="宋体"/>
          <w:bCs/>
          <w:color w:val="000000"/>
          <w:sz w:val="24"/>
          <w:szCs w:val="24"/>
          <w:highlight w:val="none"/>
          <w:lang w:val="en-US" w:eastAsia="zh-CN"/>
        </w:rPr>
        <w:t xml:space="preserve">中</w:t>
      </w:r>
      <w:r>
        <w:rPr>
          <w:rFonts w:hint="eastAsia" w:ascii="宋体" w:hAnsi="宋体" w:eastAsia="宋体" w:cs="宋体"/>
          <w:bCs/>
          <w:color w:val="000000"/>
          <w:sz w:val="24"/>
          <w:szCs w:val="24"/>
          <w:highlight w:val="none"/>
        </w:rPr>
        <w:t xml:space="preserve">小微企业：</w:t>
      </w:r>
      <w:r>
        <w:rPr>
          <w:rFonts w:hint="eastAsia" w:ascii="宋体" w:hAnsi="宋体" w:eastAsia="宋体" w:cs="宋体"/>
          <w:bCs/>
          <w:color w:val="000000"/>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不接受</w:t>
      </w:r>
      <w:r>
        <w:rPr>
          <w:rFonts w:hint="eastAsia" w:ascii="宋体" w:hAnsi="宋体" w:eastAsia="宋体" w:cs="宋体"/>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w:t>
      </w:r>
      <w:bookmarkStart w:id="2" w:name="OLE_LINK18"/>
      <w:r>
        <w:rPr>
          <w:rFonts w:hint="eastAsia" w:ascii="宋体" w:hAnsi="宋体" w:eastAsia="宋体" w:cs="宋体"/>
          <w:bCs/>
          <w:color w:val="000000"/>
          <w:sz w:val="24"/>
          <w:szCs w:val="24"/>
          <w:highlight w:val="none"/>
        </w:rPr>
        <w:t xml:space="preserve">供应商为中型企业/小型企业/微型企业（监狱企业、残疾人福利性单位视同小微企业）</w:t>
      </w:r>
      <w:bookmarkEnd w:id="2"/>
      <w:r>
        <w:rPr>
          <w:rFonts w:hint="eastAsia" w:ascii="宋体" w:hAnsi="宋体" w:eastAsia="宋体" w:cs="宋体"/>
          <w:bCs/>
          <w:color w:val="000000"/>
          <w:sz w:val="24"/>
          <w:szCs w:val="24"/>
          <w:highlight w:val="none"/>
        </w:rPr>
        <w:t xml:space="preserve">；</w:t>
      </w:r>
      <w:r/>
    </w:p>
    <w:p>
      <w:pPr>
        <w:ind w:firstLine="456"/>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w:t>
      </w:r>
      <w:r/>
    </w:p>
    <w:p>
      <w:pPr>
        <w:ind w:firstLine="482"/>
        <w:jc w:val="left"/>
        <w:spacing w:line="360" w:lineRule="auto"/>
        <w:shd w:val="clear" w:color="auto" w:fill="ffffff"/>
        <w:widowControl/>
        <w:rPr>
          <w:rFonts w:hint="eastAsia" w:ascii="宋体" w:hAnsi="宋体" w:eastAsia="宋体" w:cs="宋体"/>
          <w:sz w:val="25"/>
          <w:szCs w:val="25"/>
          <w:highlight w:val="none"/>
          <w:shd w:val="clear" w:color="auto" w:fill="ffffff"/>
        </w:rPr>
      </w:pPr>
      <w:r/>
      <w:bookmarkStart w:id="3" w:name="OLE_LINK17"/>
      <w:r/>
      <w:bookmarkStart w:id="4" w:name="_Toc112006902"/>
      <w:r>
        <w:rPr>
          <w:rFonts w:hint="eastAsia" w:ascii="宋体" w:hAnsi="宋体" w:eastAsia="宋体" w:cs="宋体"/>
          <w:sz w:val="25"/>
          <w:szCs w:val="25"/>
          <w:highlight w:val="none"/>
          <w:shd w:val="clear" w:color="auto" w:fill="ffffff"/>
        </w:rPr>
        <w:t xml:space="preserve">（1）有效完整的医疗器械产品注册证或备案凭证复印件（医疗器械产品注册证如有注册登记表须一并提供）；</w:t>
      </w:r>
      <w:r/>
    </w:p>
    <w:p>
      <w:pPr>
        <w:ind w:firstLine="482"/>
        <w:jc w:val="left"/>
        <w:spacing w:line="360" w:lineRule="auto"/>
        <w:shd w:val="clear" w:color="auto" w:fill="ffffff"/>
        <w:widowControl/>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 xml:space="preserve">（2）投标供应商为代理商的，须具有药监部门颁发的《医疗器械经营许可证》或医疗器械经营备案凭证；</w:t>
      </w:r>
      <w:r/>
    </w:p>
    <w:p>
      <w:pPr>
        <w:ind w:firstLine="482"/>
        <w:jc w:val="left"/>
        <w:spacing w:line="360" w:lineRule="auto"/>
        <w:shd w:val="clear" w:color="auto" w:fill="ffffff"/>
        <w:widowControl/>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 xml:space="preserve">（3）投标供应商为生产商的，须具有药监局颁发的《医疗器械生产许可证》或生产备案凭证（医疗器械生产许可证如有医疗器械生产产品登记表的须一并提供）。</w:t>
      </w:r>
      <w:bookmarkEnd w:id="3"/>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4"/>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5"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5"/>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JSZC-320205-JZCG-G2026-0028</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6"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6"/>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7"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7"/>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8"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8"/>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殷孟娜</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无锡市锡山区重点建设项目管理中心</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张工</w:t>
      </w:r>
      <w:r/>
    </w:p>
    <w:p>
      <w:pPr>
        <w:pStyle w:val="1144"/>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bookmarkStart w:id="9" w:name="OLE_LINK1"/>
      <w:r>
        <w:rPr>
          <w:rFonts w:hint="eastAsia" w:ascii="宋体" w:hAnsi="宋体" w:eastAsia="宋体"/>
          <w:color w:val="000000"/>
          <w:sz w:val="24"/>
          <w:szCs w:val="24"/>
          <w:highlight w:val="none"/>
        </w:rPr>
        <w:t xml:space="preserve">0510-</w:t>
      </w:r>
      <w:r>
        <w:rPr>
          <w:rFonts w:hint="eastAsia" w:ascii="宋体" w:hAnsi="宋体"/>
          <w:color w:val="000000"/>
          <w:sz w:val="24"/>
          <w:szCs w:val="24"/>
          <w:highlight w:val="none"/>
        </w:rPr>
        <w:t xml:space="preserve">88221731</w:t>
      </w:r>
      <w:bookmarkEnd w:id="9"/>
      <w:r/>
      <w:r/>
    </w:p>
    <w:p>
      <w:pPr>
        <w:pStyle w:val="1316"/>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10" w:name="_Toc112006911"/>
      <w:r>
        <w:rPr>
          <w:rFonts w:hint="eastAsia" w:ascii="宋体" w:hAnsi="宋体" w:eastAsia="宋体" w:cs="宋体"/>
          <w:b/>
          <w:color w:val="000000"/>
          <w:sz w:val="24"/>
          <w:szCs w:val="24"/>
          <w:highlight w:val="none"/>
        </w:rPr>
        <w:t xml:space="preserve">（一）遵循原则：</w:t>
      </w:r>
      <w:bookmarkEnd w:id="10"/>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1" w:name="_Toc112006912"/>
      <w:r/>
      <w:bookmarkStart w:id="12"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1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13"/>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4"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14"/>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5" w:name="_Hlk529436263"/>
      <w:r/>
      <w:bookmarkStart w:id="16"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5"/>
      <w:r/>
      <w:bookmarkEnd w:id="16"/>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7"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8"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7.评分标准中除投标报价以外，还须包含明标（</w:t>
      </w:r>
      <w:r>
        <w:rPr>
          <w:rFonts w:hint="eastAsia" w:ascii="宋体" w:hAnsi="宋体" w:eastAsia="宋体" w:cs="宋体"/>
          <w:b/>
          <w:color w:val="000000" w:themeColor="text1"/>
          <w:sz w:val="28"/>
          <w:szCs w:val="28"/>
          <w:lang w:val="en-US" w:eastAsia="zh-CN"/>
          <w14:textFill>
            <w14:solidFill>
              <w14:schemeClr w14:val="tx1"/>
            </w14:solidFill>
          </w14:textFill>
        </w:rPr>
        <w:t xml:space="preserve">综合能力评价、政策加分</w:t>
      </w:r>
      <w:r>
        <w:rPr>
          <w:rFonts w:hint="eastAsia" w:ascii="宋体" w:hAnsi="宋体" w:eastAsia="宋体" w:cs="宋体"/>
          <w:b/>
          <w:color w:val="000000" w:themeColor="text1"/>
          <w:sz w:val="28"/>
          <w:szCs w:val="28"/>
          <w14:textFill>
            <w14:solidFill>
              <w14:schemeClr w14:val="tx1"/>
            </w14:solidFill>
          </w14:textFill>
        </w:rPr>
        <w:t xml:space="preserve">）和暗标（</w:t>
      </w:r>
      <w:r>
        <w:rPr>
          <w:rFonts w:hint="eastAsia" w:ascii="宋体" w:hAnsi="宋体" w:eastAsia="宋体" w:cs="宋体"/>
          <w:b/>
          <w:color w:val="000000" w:themeColor="text1"/>
          <w:sz w:val="28"/>
          <w:szCs w:val="28"/>
          <w:lang w:val="en-US" w:eastAsia="zh-CN"/>
          <w14:textFill>
            <w14:solidFill>
              <w14:schemeClr w14:val="tx1"/>
            </w14:solidFill>
          </w14:textFill>
        </w:rPr>
        <w:t xml:space="preserve">技术</w:t>
      </w:r>
      <w:r>
        <w:rPr>
          <w:rFonts w:hint="eastAsia" w:ascii="宋体" w:hAnsi="宋体" w:eastAsia="宋体" w:cs="宋体"/>
          <w:b/>
          <w:color w:val="000000" w:themeColor="text1"/>
          <w:sz w:val="28"/>
          <w:szCs w:val="28"/>
          <w14:textFill>
            <w14:solidFill>
              <w14:schemeClr w14:val="tx1"/>
            </w14:solidFill>
          </w14:textFill>
        </w:rPr>
        <w:t xml:space="preserve">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(1)</w:t>
      </w:r>
      <w:r>
        <w:rPr>
          <w:rFonts w:hint="eastAsia" w:ascii="宋体" w:hAnsi="宋体" w:eastAsia="宋体" w:cs="宋体"/>
          <w:b/>
          <w:color w:val="000000" w:themeColor="text1"/>
          <w:sz w:val="28"/>
          <w:szCs w:val="28"/>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rPr>
      </w:pPr>
      <w:r>
        <w:rPr>
          <w:rFonts w:hint="eastAsia" w:ascii="宋体" w:hAnsi="宋体" w:eastAsia="宋体" w:cs="宋体"/>
          <w:b/>
          <w:color w:val="000000" w:themeColor="text1"/>
          <w:sz w:val="28"/>
          <w:szCs w:val="28"/>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9"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9"/>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8"/>
      <w:r/>
      <w:r/>
    </w:p>
    <w:p>
      <w:pPr>
        <w:pStyle w:val="1165"/>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20"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108"/>
        <w:tblpPr w:horzAnchor="page" w:tblpX="1557" w:vertAnchor="text" w:tblpY="1111" w:leftFromText="180" w:topFromText="0" w:rightFromText="180" w:bottomFromText="0"/>
        <w:tblW w:w="4998"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8"/>
        <w:gridCol w:w="3356"/>
        <w:gridCol w:w="5260"/>
      </w:tblGrid>
      <w:tr>
        <w:trPr>
          <w:trHeight w:val="564"/>
        </w:trPr>
        <w:tc>
          <w:tcPr>
            <w:tcW w:w="360"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9"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807" w:type="pct"/>
            <w:vAlign w:val="center"/>
            <w:textDirection w:val="lrTb"/>
            <w:noWrap w:val="false"/>
          </w:tcPr>
          <w:p>
            <w:pPr>
              <w:jc w:val="center"/>
              <w:rPr>
                <w:rFonts w:ascii="宋体" w:hAnsi="宋体" w:eastAsia="宋体" w:cs="宋体"/>
                <w:color w:val="000000"/>
                <w:sz w:val="24"/>
                <w:szCs w:val="24"/>
                <w:highlight w:val="none"/>
              </w:rPr>
            </w:pPr>
            <w:r/>
            <w:bookmarkStart w:id="21" w:name="OLE_LINK2"/>
            <w:r>
              <w:rPr>
                <w:rFonts w:hint="eastAsia" w:ascii="宋体" w:hAnsi="宋体" w:eastAsia="宋体" w:cs="宋体"/>
                <w:color w:val="000000"/>
                <w:sz w:val="24"/>
                <w:szCs w:val="24"/>
                <w:highlight w:val="none"/>
              </w:rPr>
              <w:t xml:space="preserve">关于资格的声明函</w:t>
            </w:r>
            <w:bookmarkEnd w:id="21"/>
            <w:r/>
            <w:r/>
          </w:p>
        </w:tc>
        <w:tc>
          <w:tcPr>
            <w:tcW w:w="2832"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832"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832"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807" w:type="pct"/>
            <w:vAlign w:val="center"/>
            <w:textDirection w:val="lrTb"/>
            <w:noWrap w:val="false"/>
          </w:tcPr>
          <w:p>
            <w:pPr>
              <w:jc w:val="both"/>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832"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832"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832"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832"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832"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832"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832"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832" w:type="pct"/>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（1）有效完整的医疗器械产品注册证或备案凭证复印件（医疗器械产品注册证如有注册登记表须一并提供）；</w:t>
            </w:r>
            <w:r/>
          </w:p>
          <w:p>
            <w:pPr>
              <w:jc w:val="left"/>
              <w:rPr>
                <w:rFonts w:hint="eastAsia" w:ascii="宋体" w:hAnsi="宋体" w:eastAsia="宋体" w:cs="宋体"/>
                <w:bCs/>
                <w:color w:val="000000"/>
                <w:sz w:val="24"/>
                <w:szCs w:val="24"/>
                <w:highlight w:val="none"/>
              </w:rPr>
            </w:pPr>
            <w:r/>
            <w:bookmarkStart w:id="22" w:name="OLE_LINK3"/>
            <w:r>
              <w:rPr>
                <w:rFonts w:hint="eastAsia" w:ascii="宋体" w:hAnsi="宋体" w:eastAsia="宋体" w:cs="宋体"/>
                <w:bCs/>
                <w:color w:val="000000"/>
                <w:sz w:val="24"/>
                <w:szCs w:val="24"/>
                <w:highlight w:val="none"/>
              </w:rPr>
              <w:t xml:space="preserve">（2）投标供应商为代理商的，须具有药监部门颁发的《医疗器械经营许可证》或医疗器械经营备案凭证</w:t>
            </w:r>
            <w:bookmarkEnd w:id="22"/>
            <w:r>
              <w:rPr>
                <w:rFonts w:hint="eastAsia" w:ascii="宋体" w:hAnsi="宋体" w:eastAsia="宋体" w:cs="宋体"/>
                <w:bCs/>
                <w:color w:val="000000"/>
                <w:sz w:val="24"/>
                <w:szCs w:val="24"/>
                <w:highlight w:val="none"/>
              </w:rPr>
              <w:t xml:space="preserve">；</w:t>
            </w:r>
            <w:r/>
          </w:p>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（3）投标供应商为生产商的，须具有药监局颁发的《医疗器械生产许可证》或生产备案凭证（医疗器械生产许可证如有医疗器械生产产品登记表的须一并提供）。</w:t>
            </w:r>
            <w:r/>
          </w:p>
        </w:tc>
      </w:tr>
      <w:tr>
        <w:trPr>
          <w:trHeight w:val="1599"/>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832"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832"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23" w:name="_Toc116946315"/>
      <w:r>
        <w:rPr>
          <w:rFonts w:hint="eastAsia" w:ascii="宋体" w:hAnsi="宋体" w:eastAsia="宋体" w:cs="宋体"/>
          <w:b/>
          <w:color w:val="000000"/>
          <w:sz w:val="24"/>
          <w:szCs w:val="24"/>
          <w:highlight w:val="none"/>
        </w:rPr>
        <w:t xml:space="preserve">符合性审查表</w:t>
      </w:r>
      <w:bookmarkEnd w:id="23"/>
      <w:r/>
      <w:r/>
    </w:p>
    <w:tbl>
      <w:tblPr>
        <w:tblStyle w:val="1108"/>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000000"/>
          <w:sz w:val="24"/>
          <w:szCs w:val="24"/>
          <w:highlight w:val="none"/>
        </w:rPr>
        <w:t xml:space="preserve">评标委员会遵循公平、公正、择优原则，独立按照评分标准分别评定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的分值；各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的评审后得分为各评委所评定分值的平均值，并按高低顺序排列。得分相同的，按投标报价由低到高顺序排列，</w:t>
      </w:r>
      <w:r>
        <w:rPr>
          <w:rFonts w:hint="eastAsia" w:ascii="宋体" w:hAnsi="宋体" w:eastAsia="宋体" w:cs="宋体"/>
          <w:bCs/>
          <w:color w:val="000000"/>
          <w:sz w:val="24"/>
          <w:szCs w:val="24"/>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4" w:name="_Toc112006920"/>
      <w:r/>
      <w:bookmarkStart w:id="25" w:name="_Toc112006921"/>
      <w:r/>
      <w:bookmarkStart w:id="26"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24"/>
      <w:r/>
      <w:bookmarkEnd w:id="25"/>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6"/>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7"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8"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7"/>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9"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9"/>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318"/>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r/>
    </w:p>
    <w:p>
      <w:pPr>
        <w:ind w:firstLine="480"/>
        <w:spacing w:line="360" w:lineRule="auto"/>
        <w:rPr>
          <w:rFonts w:hint="eastAsia" w:ascii="宋体" w:hAnsi="宋体" w:eastAsia="宋体" w:cs="宋体"/>
          <w:bCs/>
          <w:color w:val="auto"/>
          <w:sz w:val="24"/>
        </w:rPr>
      </w:pPr>
      <w:r>
        <w:rPr>
          <w:rFonts w:hint="eastAsia" w:ascii="宋体" w:hAnsi="Courier New" w:eastAsia="宋体"/>
          <w:b/>
          <w:bCs/>
          <w:color w:val="auto"/>
          <w:sz w:val="36"/>
          <w:szCs w:val="36"/>
          <w:highlight w:val="none"/>
        </w:rPr>
        <w:t xml:space="preserve"> </w:t>
      </w:r>
      <w:bookmarkStart w:id="30" w:name="_Toc3995"/>
      <w:r>
        <w:rPr>
          <w:rFonts w:hint="eastAsia" w:ascii="宋体" w:hAnsi="宋体" w:eastAsia="宋体" w:cs="宋体"/>
          <w:bCs/>
          <w:color w:val="auto"/>
          <w:sz w:val="24"/>
          <w:highlight w:val="none"/>
        </w:rPr>
        <w:t xml:space="preserve">本次采购为</w:t>
      </w:r>
      <w:r>
        <w:rPr>
          <w:rFonts w:hint="eastAsia" w:ascii="宋体" w:hAnsi="宋体" w:eastAsia="宋体" w:cs="宋体"/>
          <w:color w:val="auto"/>
          <w:sz w:val="24"/>
          <w:szCs w:val="24"/>
          <w:highlight w:val="none"/>
          <w:lang w:eastAsia="zh-CN"/>
        </w:rPr>
        <w:t xml:space="preserve">无锡市锡山区重点建设项目管理中心</w:t>
      </w:r>
      <w:r>
        <w:rPr>
          <w:rFonts w:hint="eastAsia" w:ascii="宋体" w:hAnsi="宋体" w:eastAsia="宋体" w:cs="宋体"/>
          <w:bCs/>
          <w:color w:val="auto"/>
          <w:sz w:val="24"/>
          <w:highlight w:val="none"/>
        </w:rPr>
        <w:t xml:space="preserve">委托的</w:t>
      </w:r>
      <w:r>
        <w:rPr>
          <w:rFonts w:hint="eastAsia" w:ascii="宋体" w:hAnsi="宋体" w:eastAsia="宋体" w:cs="宋体"/>
          <w:bCs/>
          <w:color w:val="auto"/>
          <w:sz w:val="24"/>
          <w:highlight w:val="none"/>
          <w:lang w:eastAsia="zh-CN"/>
        </w:rPr>
        <w:t xml:space="preserve">无锡市锡山人民医院东亭分院改扩建项目医用气体采购项目</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本项目中的</w:t>
      </w:r>
      <w:r>
        <w:rPr>
          <w:rFonts w:hint="eastAsia" w:ascii="宋体" w:hAnsi="宋体" w:eastAsia="宋体"/>
          <w:b/>
          <w:bCs/>
          <w:color w:val="auto"/>
          <w:sz w:val="24"/>
          <w:szCs w:val="24"/>
          <w:highlight w:val="none"/>
          <w:lang w:val="en-US" w:eastAsia="zh-CN"/>
        </w:rPr>
        <w:t xml:space="preserve">核心产品为</w:t>
      </w:r>
      <w:r>
        <w:rPr>
          <w:rFonts w:hint="eastAsia" w:ascii="宋体" w:hAnsi="宋体" w:eastAsia="宋体"/>
          <w:b/>
          <w:bCs/>
          <w:color w:val="auto"/>
          <w:sz w:val="24"/>
          <w:szCs w:val="24"/>
          <w:highlight w:val="none"/>
          <w:u w:val="single"/>
          <w:lang w:val="en-US" w:eastAsia="zh-CN"/>
        </w:rPr>
        <w:t xml:space="preserve">医用压缩空气一体式机组</w:t>
      </w:r>
      <w:r>
        <w:rPr>
          <w:rFonts w:hint="eastAsia" w:asciiTheme="minorEastAsia" w:hAnsiTheme="minorEastAsia" w:eastAsiaTheme="minorEastAsia"/>
          <w:color w:val="auto"/>
          <w:sz w:val="24"/>
          <w:szCs w:val="24"/>
          <w:highlight w:val="none"/>
          <w:lang w:val="en-US" w:eastAsia="zh-CN"/>
        </w:rPr>
        <w:t xml:space="preserve">，</w:t>
      </w:r>
      <w:r>
        <w:rPr>
          <w:rFonts w:hint="eastAsia" w:ascii="宋体" w:hAnsi="宋体" w:eastAsia="宋体" w:cs="宋体"/>
          <w:bCs/>
          <w:color w:val="auto"/>
          <w:sz w:val="24"/>
          <w:highlight w:val="none"/>
        </w:rPr>
        <w:t xml:space="preserve">所投内容必须完全满足以下</w:t>
      </w:r>
      <w:r>
        <w:rPr>
          <w:rFonts w:hint="eastAsia" w:ascii="宋体" w:hAnsi="宋体" w:eastAsia="宋体" w:cs="宋体"/>
          <w:color w:val="auto"/>
          <w:sz w:val="24"/>
          <w:szCs w:val="24"/>
          <w:highlight w:val="none"/>
        </w:rPr>
        <w:t xml:space="preserve">设备的参数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及服务</w:t>
      </w:r>
      <w:r>
        <w:rPr>
          <w:rFonts w:hint="eastAsia" w:ascii="宋体" w:hAnsi="宋体" w:eastAsia="宋体" w:cs="宋体"/>
          <w:bCs/>
          <w:color w:val="auto"/>
          <w:sz w:val="24"/>
          <w:highlight w:val="none"/>
        </w:rPr>
        <w:t xml:space="preserve">要求所投内容必须完全满足以下</w:t>
      </w:r>
      <w:r>
        <w:rPr>
          <w:rFonts w:hint="eastAsia" w:ascii="宋体" w:hAnsi="宋体" w:eastAsia="宋体" w:cs="宋体"/>
          <w:color w:val="auto"/>
          <w:sz w:val="24"/>
          <w:szCs w:val="24"/>
          <w:highlight w:val="none"/>
        </w:rPr>
        <w:t xml:space="preserve">设备的参数及服务</w:t>
      </w:r>
      <w:r>
        <w:rPr>
          <w:rFonts w:hint="eastAsia" w:ascii="宋体" w:hAnsi="宋体" w:eastAsia="宋体" w:cs="宋体"/>
          <w:bCs/>
          <w:color w:val="auto"/>
          <w:sz w:val="24"/>
          <w:highlight w:val="none"/>
        </w:rPr>
        <w:t xml:space="preserve">要求，不得有负偏离</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rPr>
        <w:t xml:space="preserve">若不满足视为无效投标文件，</w:t>
      </w:r>
      <w:r>
        <w:rPr>
          <w:rFonts w:hint="eastAsia" w:ascii="宋体" w:hAnsi="宋体" w:eastAsia="宋体" w:cs="宋体"/>
          <w:bCs/>
          <w:color w:val="auto"/>
          <w:sz w:val="24"/>
          <w:highlight w:val="none"/>
        </w:rPr>
        <w:t xml:space="preserve">项目需求如下：</w:t>
      </w:r>
      <w:r/>
    </w:p>
    <w:p>
      <w:pPr>
        <w:pStyle w:val="1769"/>
        <w:numPr>
          <w:ilvl w:val="1"/>
          <w:numId w:val="0"/>
        </w:numPr>
        <w:rPr>
          <w:rFonts w:hint="eastAsia" w:ascii="宋体" w:hAnsi="宋体" w:eastAsia="宋体" w:cs="宋体"/>
          <w:color w:val="auto"/>
        </w:rPr>
        <w:outlineLvl w:val="9"/>
      </w:pPr>
      <w:r>
        <w:rPr>
          <w:rFonts w:hint="eastAsia" w:ascii="宋体" w:hAnsi="宋体" w:eastAsia="宋体" w:cs="宋体"/>
          <w:b/>
          <w:bCs/>
          <w:color w:val="auto"/>
          <w:sz w:val="24"/>
          <w:szCs w:val="24"/>
          <w:highlight w:val="none"/>
          <w:lang w:val="en-US" w:eastAsia="zh-CN"/>
        </w:rPr>
        <w:t xml:space="preserve">本项目属性：货物类</w:t>
      </w:r>
      <w:r/>
    </w:p>
    <w:p>
      <w:pPr>
        <w:pStyle w:val="1099"/>
        <w:numPr>
          <w:ilvl w:val="0"/>
          <w:numId w:val="3"/>
        </w:numPr>
        <w:spacing w:before="0" w:after="0" w:line="360" w:lineRule="auto"/>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rPr>
        <w:t xml:space="preserve">采购需求</w:t>
      </w:r>
      <w:r>
        <w:rPr>
          <w:rFonts w:asciiTheme="minorEastAsia" w:hAnsiTheme="minorEastAsia" w:eastAsiaTheme="minorEastAsia"/>
          <w:b/>
          <w:color w:val="auto"/>
          <w:sz w:val="24"/>
          <w:szCs w:val="24"/>
          <w:highlight w:val="none"/>
        </w:rPr>
        <w:t xml:space="preserve">清单</w:t>
      </w:r>
      <w:r/>
    </w:p>
    <w:p>
      <w:pPr>
        <w:ind w:left="0" w:right="0"/>
        <w:jc w:val="both"/>
        <w:keepLines w:val="0"/>
        <w:keepNext w:val="0"/>
        <w:spacing w:before="0" w:beforeAutospacing="0" w:after="0" w:afterAutospacing="0" w:line="360" w:lineRule="auto"/>
        <w:widowControl w:val="off"/>
        <w:rPr>
          <w:color w:val="auto"/>
        </w:rPr>
        <w:suppressLineNumbers w:val="0"/>
      </w:pPr>
      <w:r>
        <w:rPr>
          <w:rFonts w:hint="eastAsia" w:ascii="宋体" w:hAnsi="宋体" w:eastAsia="宋体" w:cs="宋体"/>
          <w:b/>
          <w:bCs/>
          <w:color w:val="auto"/>
          <w:sz w:val="24"/>
          <w:szCs w:val="24"/>
          <w:u w:val="single"/>
          <w:lang w:val="en-US" w:eastAsia="zh-CN" w:bidi="ar"/>
        </w:rPr>
        <w:t xml:space="preserve">本项目为货物采购，中小企业声明函所对应的采购标的名称及对应的中小企业划分标准所属行业如下表：</w:t>
      </w:r>
      <w:r/>
    </w:p>
    <w:p>
      <w:pPr>
        <w:numPr>
          <w:ilvl w:val="0"/>
          <w:numId w:val="0"/>
        </w:numPr>
        <w:rPr>
          <w:rFonts w:hint="eastAsia" w:asciiTheme="minorEastAsia" w:hAnsiTheme="minorEastAsia" w:eastAsiaTheme="minorEastAsia" w:cstheme="minorEastAsia"/>
          <w:b/>
          <w:bCs/>
          <w:color w:val="auto"/>
          <w:sz w:val="24"/>
          <w:szCs w:val="28"/>
          <w:lang w:val="en-US" w:eastAsia="zh-CN"/>
        </w:rPr>
      </w:pPr>
      <w:r>
        <w:rPr>
          <w:rFonts w:hint="eastAsia" w:asciiTheme="minorEastAsia" w:hAnsiTheme="minorEastAsia" w:eastAsiaTheme="minorEastAsia" w:cstheme="minorEastAsia"/>
          <w:b/>
          <w:bCs/>
          <w:color w:val="auto"/>
          <w:sz w:val="24"/>
          <w:szCs w:val="28"/>
          <w:lang w:val="en-US" w:eastAsia="zh-CN"/>
        </w:rPr>
        <w:t xml:space="preserve">采购主要内容：</w:t>
      </w:r>
      <w:r/>
    </w:p>
    <w:p>
      <w:pPr>
        <w:pStyle w:val="1114"/>
        <w:jc w:val="center"/>
        <w:rPr>
          <w:rFonts w:hint="eastAsia" w:ascii="宋体" w:hAnsi="宋体" w:eastAsia="宋体" w:cs="宋体"/>
          <w:b/>
          <w:bCs w:val="0"/>
          <w:color w:val="auto"/>
          <w:sz w:val="24"/>
          <w:szCs w:val="22"/>
          <w:highlight w:val="none"/>
          <w:shd w:val="clear" w:color="auto" w:fill="auto"/>
        </w:rPr>
      </w:pPr>
      <w:r>
        <w:rPr>
          <w:rFonts w:hint="eastAsia" w:ascii="宋体" w:hAnsi="宋体" w:eastAsia="宋体" w:cs="宋体"/>
          <w:b/>
          <w:bCs w:val="0"/>
          <w:color w:val="auto"/>
          <w:sz w:val="24"/>
          <w:szCs w:val="22"/>
          <w:highlight w:val="none"/>
          <w:shd w:val="clear" w:color="auto" w:fill="auto"/>
        </w:rPr>
        <w:t xml:space="preserve">非净化区医用气体</w:t>
      </w:r>
      <w:r/>
    </w:p>
    <w:tbl>
      <w:tblPr>
        <w:tblStyle w:val="1108"/>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5"/>
        <w:gridCol w:w="4150"/>
        <w:gridCol w:w="2027"/>
        <w:gridCol w:w="1962"/>
      </w:tblGrid>
      <w:tr>
        <w:trPr>
          <w:trHeight w:val="454"/>
        </w:trPr>
        <w:tc>
          <w:tcPr>
            <w:shd w:val="clear" w:color="auto" w:fill="auto"/>
            <w:tcW w:w="5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W w:w="228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名称</w:t>
            </w:r>
            <w:r/>
          </w:p>
        </w:tc>
        <w:tc>
          <w:tcPr>
            <w:shd w:val="clear" w:color="auto" w:fill="auto"/>
            <w:tcW w:w="111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所属行业</w:t>
            </w:r>
            <w:r/>
          </w:p>
        </w:tc>
        <w:tc>
          <w:tcPr>
            <w:shd w:val="clear" w:color="auto" w:fill="auto"/>
            <w:tcW w:w="108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一、医用中心供氧系统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氧气低温液体储罐</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氧气空温式汽化器</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氧气减压装置（双路减压）</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氧气分气缸</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氧气汇流排10+10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氧气二级减压箱</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护士站报警器(三气）</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护士站报警器(四气）</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中央报警系统</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报警器检修阀门</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医用无缝不锈钢管ф45*2.5（1）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90"/>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医用无缝不锈钢管ф38*2.5(1)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90"/>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医用无缝不锈钢管ф32*2.0（1）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医用无缝不锈钢管ф25*2.0（1）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医用无缝不锈钢管ф18*2.0（1）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脱脂紫铜管ф10*1.0（1）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脱脂紫铜管ф8*1.0（1）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管道支架（1）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金属结构刷油（1）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氧气截止阀</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三片式焊接球阀ф25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三片式焊接球阀ф18</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三片式焊接球阀ф14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氧气铜截止阀/检修阀</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氧气流量计</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氧气终端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二、</w:t>
            </w:r>
            <w:r>
              <w:rPr>
                <w:rFonts w:hint="eastAsia" w:ascii="宋体" w:hAnsi="宋体" w:eastAsia="宋体" w:cs="宋体"/>
                <w:i w:val="0"/>
                <w:iCs w:val="0"/>
                <w:color w:val="auto"/>
                <w:sz w:val="21"/>
                <w:szCs w:val="21"/>
                <w:highlight w:val="none"/>
                <w:u w:val="none"/>
                <w:lang w:val="en-US" w:eastAsia="zh-CN" w:bidi="ar"/>
              </w:rPr>
              <w:t xml:space="preserve">医用</w:t>
            </w:r>
            <w:r>
              <w:rPr>
                <w:rFonts w:hint="eastAsia" w:ascii="宋体" w:hAnsi="宋体" w:eastAsia="宋体" w:cs="宋体"/>
                <w:i w:val="0"/>
                <w:iCs w:val="0"/>
                <w:color w:val="auto"/>
                <w:sz w:val="24"/>
                <w:szCs w:val="24"/>
                <w:u w:val="none"/>
                <w:lang w:val="en-US" w:eastAsia="zh-CN" w:bidi="ar"/>
              </w:rPr>
              <w:t xml:space="preserve">中心吸引系统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医用真空负压一体式机组(1)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医用真空罐(1)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真空除菌过滤器(1)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吸引集气缸(1)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排气口灭菌器(1)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医用无缝不锈钢管ф89*3.0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医用无缝不锈钢管ф57*2.5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医用无缝不锈钢管ф45*2.5（2）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医用无缝不锈钢管ф38*2.5(2)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医用无缝不锈钢管ф32*2.0（2）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脱脂紫铜管ф12*1.0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脱脂紫铜管ф10*1.0（2）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镀锌钢管</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管道支架（2）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金属结构刷油（2）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不锈钢球阀DN50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不锈钢球阀DN40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不锈钢球阀DN32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不锈钢球阀DN25（1）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铜截止阀/检修阀ф8(1)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吸引终端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三、医用空气集中供应系统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医用压缩空气一体式机组</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空气储气罐(1)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压缩空气分气缸</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医用无缝不锈钢管ф45*2.5（3)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医用无缝不锈钢管ф32*2.0（3）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医用无缝不锈钢管ф25*2.0（2）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医用无缝不锈钢管ф18*2.0（2）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脱脂紫铜管ф10*1.0（3）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脱脂紫铜管ф8*1.0（2）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管道支架（3）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金属结构刷油（3）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不锈钢球阀DN25（2）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不锈钢球阀DN20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不锈钢球阀DN15（1）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铜截止阀/检修阀ф8(2)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压缩空气终端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四、感染楼医用中心吸引系统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医用真空负压一体式机组(2)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医用真空罐(2)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真空除菌过滤器(2)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吸引集气缸(2)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排气口灭菌器(2)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五、牙科空压</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医用风冷无油空压机</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医用不锈钢管ф18*1.0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脱脂紫铜管ф10*1.0（4）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管道支架（4）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金属结构刷油（4）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不锈钢球阀DN15（2）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六、二氧化碳系统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二氧化碳汇流排2+2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医用无缝不锈钢管ф25*2.0（3）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医用无缝不锈钢管ф18*2.0（3）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脱脂紫铜管ф10*1.0（5）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脱脂紫铜管ф8*1.0（3）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管道支架（5）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金属结构刷油（5）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不锈钢球阀DN15（3）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二氧化碳铜截止阀/检修阀ф8</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二氧化碳终端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七、器械空气系统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无油涡旋空气压缩机一体式</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空气储气罐(2)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空气双路减压装置</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空压站配电箱</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医用无缝不锈钢管ф25*2.0（4）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管道支架（6）</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金属结构刷油（6）</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不锈钢球阀DN25（3）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八、设备带及其他</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医疗设备带</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房间支管开槽</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电线管PVCDN20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铜芯线ZR-BV-1.5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铜芯线ZR-BV-2.5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漏电保护器</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五孔插座</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单联单控开关</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嵌入式床头灯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套管DN100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套管DN80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套管DN50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套管DN40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九、数据采集、监视报警</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区域压力监视报警器  </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传感器</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电脑</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KBG管DN20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铜芯线RVSP-2*0.75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铜芯线RVVP-2*0.75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铜芯线RVS-2*0.75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热镀锌桥架</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铁构件</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铜芯电力电缆YJV-3*16+2*10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铜芯电力电缆YJV-3*16+10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铜芯电力电缆YJV-3*4+2*2.5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电力电缆头</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铜芯线RVVP-2*0.5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铜芯线RVSP-2*0.5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铜芯线RVVP-6*0.5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bl>
    <w:p>
      <w:pPr>
        <w:pStyle w:val="1115"/>
        <w:rPr>
          <w:rFonts w:hint="eastAsia"/>
          <w:color w:val="auto"/>
        </w:rPr>
      </w:pPr>
      <w:r>
        <w:rPr>
          <w:rFonts w:hint="eastAsia"/>
          <w:color w:val="auto"/>
        </w:rPr>
      </w:r>
      <w:r/>
    </w:p>
    <w:p>
      <w:pPr>
        <w:pStyle w:val="1114"/>
        <w:jc w:val="center"/>
        <w:rPr>
          <w:rFonts w:hint="eastAsia" w:ascii="宋体" w:hAnsi="宋体" w:eastAsia="宋体" w:cs="宋体"/>
          <w:b/>
          <w:bCs w:val="0"/>
          <w:color w:val="auto"/>
          <w:sz w:val="24"/>
          <w:szCs w:val="22"/>
          <w:highlight w:val="none"/>
          <w:shd w:val="clear" w:color="auto" w:fill="auto"/>
        </w:rPr>
      </w:pPr>
      <w:r>
        <w:rPr>
          <w:rFonts w:hint="eastAsia" w:ascii="宋体" w:hAnsi="宋体" w:eastAsia="宋体" w:cs="宋体"/>
          <w:b/>
          <w:bCs w:val="0"/>
          <w:color w:val="auto"/>
          <w:sz w:val="24"/>
          <w:szCs w:val="22"/>
          <w:highlight w:val="none"/>
          <w:shd w:val="clear" w:color="auto" w:fill="auto"/>
        </w:rPr>
        <w:t xml:space="preserve">净化区医用气体</w:t>
      </w:r>
      <w:r/>
    </w:p>
    <w:tbl>
      <w:tblPr>
        <w:tblStyle w:val="1108"/>
        <w:tblW w:w="49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2"/>
        <w:gridCol w:w="4187"/>
        <w:gridCol w:w="2121"/>
        <w:gridCol w:w="1998"/>
      </w:tblGrid>
      <w:tr>
        <w:trPr>
          <w:trHeight w:val="476"/>
        </w:trPr>
        <w:tc>
          <w:tcPr>
            <w:shd w:val="clear" w:color="auto" w:fill="auto"/>
            <w:tcW w:w="45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W w:w="229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名称</w:t>
            </w:r>
            <w:r/>
          </w:p>
        </w:tc>
        <w:tc>
          <w:tcPr>
            <w:shd w:val="clear" w:color="auto" w:fill="auto"/>
            <w:tcW w:w="116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所属行业</w:t>
            </w:r>
            <w:r/>
          </w:p>
        </w:tc>
        <w:tc>
          <w:tcPr>
            <w:shd w:val="clear" w:color="auto" w:fill="auto"/>
            <w:tcW w:w="109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gridSpan w:val="2"/>
            <w:shd w:val="clear" w:color="auto" w:fill="auto"/>
            <w:tcW w:w="3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一、管路</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二氧化碳汇流排2+2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氮气自动汇流排</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压缩空气二级减压箱</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吸引二级减压箱</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氧气流量计</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区域报警器（三气）</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区域报警器（五气）</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医气阀门箱</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压力仪表</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脱脂紫铜管φ54</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脱脂紫铜管φ35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脱脂紫铜管φ28</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脱脂紫铜管φ22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脱脂紫铜管φ15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脱脂紫铜管φ12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脱脂紫铜管φ10</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高强度废气管PVC De25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管道支架</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金属结构刷油</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铜球阀Φ35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铜球阀Φ28</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铜球阀Φ15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铜球阀Φ12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铜球阀Φ10</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塑料球阀De25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氧气终端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吸引终端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W w:w="4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压缩空气终端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W w:w="4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二氧化碳终端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W w:w="4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废气终端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gridSpan w:val="2"/>
            <w:shd w:val="clear" w:color="auto" w:fill="auto"/>
            <w:tcW w:w="3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二、设备带及其他</w:t>
            </w:r>
            <w:r/>
          </w:p>
        </w:tc>
        <w:tc>
          <w:tcPr>
            <w:shd w:val="clear" w:color="auto" w:fill="auto"/>
            <w:tcW w:w="1093" w:type="pct"/>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医疗设备带</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铝合金小罩</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电线管PVCDN20</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铜芯线ZR-BV-2.5mm2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漏电保护器</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五孔插座</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单联单控开关</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阅读灯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参数详见下表</w:t>
            </w:r>
            <w:r/>
          </w:p>
        </w:tc>
      </w:tr>
    </w:tbl>
    <w:p>
      <w:pPr>
        <w:pStyle w:val="1114"/>
        <w:rPr>
          <w:rFonts w:hint="eastAsia" w:ascii="宋体" w:hAnsi="宋体" w:eastAsia="宋体" w:cs="宋体"/>
          <w:b/>
          <w:bCs w:val="0"/>
          <w:color w:val="auto"/>
          <w:sz w:val="24"/>
          <w:szCs w:val="22"/>
          <w:highlight w:val="none"/>
          <w:shd w:val="clear" w:color="auto" w:fill="auto"/>
        </w:rPr>
      </w:pPr>
      <w:r>
        <w:rPr>
          <w:rFonts w:hint="eastAsia" w:ascii="宋体" w:hAnsi="宋体" w:eastAsia="宋体" w:cs="宋体"/>
          <w:b/>
          <w:bCs w:val="0"/>
          <w:color w:val="auto"/>
          <w:sz w:val="24"/>
          <w:szCs w:val="22"/>
          <w:highlight w:val="none"/>
          <w:shd w:val="clear" w:color="auto" w:fill="auto"/>
        </w:rPr>
        <w:t xml:space="preserve">注：本项目为货物采购项目，其中货物采购标的及对应的中小企业划分标准所属行业如上表。</w:t>
      </w:r>
      <w:r/>
    </w:p>
    <w:p>
      <w:pPr>
        <w:pStyle w:val="1115"/>
        <w:rPr>
          <w:color w:val="auto"/>
        </w:rPr>
      </w:pPr>
      <w:r>
        <w:rPr>
          <w:color w:val="auto"/>
        </w:rPr>
      </w:r>
      <w:r/>
    </w:p>
    <w:p>
      <w:pPr>
        <w:pStyle w:val="1115"/>
        <w:numPr>
          <w:ilvl w:val="0"/>
          <w:numId w:val="4"/>
        </w:numPr>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技术部分</w:t>
      </w:r>
      <w:r/>
    </w:p>
    <w:p>
      <w:pPr>
        <w:numPr>
          <w:ilvl w:val="0"/>
          <w:numId w:val="0"/>
        </w:numPr>
        <w:jc w:val="center"/>
        <w:spacing w:line="360" w:lineRule="auto"/>
        <w:rPr>
          <w:rFonts w:hint="eastAsia"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非净化区医用气体</w:t>
      </w:r>
      <w:r/>
    </w:p>
    <w:tbl>
      <w:tblPr>
        <w:tblStyle w:val="1108"/>
        <w:tblpPr w:horzAnchor="page" w:tblpX="1522" w:vertAnchor="text" w:tblpY="458" w:leftFromText="180" w:topFromText="0" w:rightFromText="180" w:bottomFromText="0"/>
        <w:tblW w:w="48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9"/>
        <w:gridCol w:w="2410"/>
        <w:gridCol w:w="3612"/>
        <w:gridCol w:w="992"/>
        <w:gridCol w:w="1021"/>
      </w:tblGrid>
      <w:tr>
        <w:trPr>
          <w:trHeight w:val="312"/>
        </w:trPr>
        <w:tc>
          <w:tcPr>
            <w:shd w:val="clear" w:color="auto" w:fill="auto"/>
            <w:tcW w:w="553"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ascii="黑体" w:hAnsi="宋体" w:eastAsia="黑体" w:cs="黑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auto"/>
            <w:tcW w:w="1333"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黑体" w:hAnsi="宋体" w:eastAsia="黑体" w:cs="黑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shd w:val="clear" w:color="auto" w:fill="auto"/>
            <w:tcW w:w="1997"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黑体" w:hAnsi="宋体" w:eastAsia="黑体" w:cs="黑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参数要求</w:t>
            </w:r>
            <w:r/>
          </w:p>
        </w:tc>
        <w:tc>
          <w:tcPr>
            <w:shd w:val="clear" w:color="auto" w:fill="auto"/>
            <w:tcW w:w="549"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计量</w:t>
            </w:r>
            <w:r/>
          </w:p>
          <w:p>
            <w:pPr>
              <w:ind w:left="0" w:right="0"/>
              <w:jc w:val="center"/>
              <w:keepLines w:val="0"/>
              <w:keepNext w:val="0"/>
              <w:pageBreakBefore w:val="0"/>
              <w:spacing w:before="0" w:beforeAutospacing="0" w:after="0" w:afterAutospacing="0"/>
              <w:widowControl/>
              <w:rPr>
                <w:rFonts w:hint="default" w:ascii="黑体" w:hAnsi="宋体" w:eastAsia="黑体" w:cs="黑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单位</w:t>
            </w:r>
            <w:r/>
          </w:p>
        </w:tc>
        <w:tc>
          <w:tcPr>
            <w:shd w:val="clear" w:color="auto" w:fill="auto"/>
            <w:tcW w:w="565"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黑体" w:hAnsi="宋体" w:eastAsia="黑体" w:cs="黑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工程量</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一、医用中心供氧系统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氧气低温液体储罐</w:t>
            </w:r>
            <w:r/>
          </w:p>
        </w:tc>
        <w:tc>
          <w:tcPr>
            <w:shd w:val="clear" w:color="auto" w:fill="auto"/>
            <w:tcW w:w="1997" w:type="pct"/>
            <w:vAlign w:val="center"/>
            <w:textDirection w:val="lrTb"/>
            <w:noWrap w:val="false"/>
          </w:tcPr>
          <w:p>
            <w:pPr>
              <w:numPr>
                <w:ilvl w:val="0"/>
                <w:numId w:val="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名称：氧气低温液体储罐</w:t>
            </w:r>
            <w:r/>
          </w:p>
          <w:p>
            <w:pPr>
              <w:numPr>
                <w:ilvl w:val="0"/>
                <w:numId w:val="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容积：5m3，1.6MPa</w:t>
            </w:r>
            <w:r/>
          </w:p>
          <w:p>
            <w:pPr>
              <w:numPr>
                <w:ilvl w:val="0"/>
                <w:numId w:val="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规格：含液氧站连接管路、过滤装置及阀门等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u w:val="none"/>
                <w:lang w:val="en-US" w:eastAsia="zh-CN" w:bidi="ar"/>
              </w:rPr>
              <w:t xml:space="preserve">提供所投产品制造商有效期内的《中华人民共和国特种设备生产许可证》，许可项目：压力容器制造；许可子项目：固定式压力容器 中、低压容器（D）</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氧气空温式汽化器</w:t>
            </w:r>
            <w:r/>
          </w:p>
        </w:tc>
        <w:tc>
          <w:tcPr>
            <w:shd w:val="clear" w:color="auto" w:fill="auto"/>
            <w:tcW w:w="1997" w:type="pct"/>
            <w:vAlign w:val="center"/>
            <w:textDirection w:val="lrTb"/>
            <w:noWrap w:val="false"/>
          </w:tcPr>
          <w:p>
            <w:pPr>
              <w:numPr>
                <w:ilvl w:val="0"/>
                <w:numId w:val="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名称：氧气空温式汽化器</w:t>
            </w:r>
            <w:r/>
          </w:p>
          <w:p>
            <w:pPr>
              <w:numPr>
                <w:ilvl w:val="0"/>
                <w:numId w:val="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型号：200m3∕h</w:t>
            </w:r>
            <w:r/>
          </w:p>
          <w:p>
            <w:pPr>
              <w:numPr>
                <w:ilvl w:val="0"/>
                <w:numId w:val="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形式：立式，铝合金</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氧气减压装置（双路减压）</w:t>
            </w:r>
            <w:r/>
          </w:p>
        </w:tc>
        <w:tc>
          <w:tcPr>
            <w:shd w:val="clear" w:color="auto" w:fill="auto"/>
            <w:tcW w:w="1997" w:type="pct"/>
            <w:vAlign w:val="center"/>
            <w:textDirection w:val="lrTb"/>
            <w:noWrap w:val="false"/>
          </w:tcPr>
          <w:p>
            <w:pPr>
              <w:numPr>
                <w:ilvl w:val="0"/>
                <w:numId w:val="7"/>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名称：氧气减压装置（双路减压）</w:t>
            </w:r>
            <w:r/>
          </w:p>
          <w:p>
            <w:pPr>
              <w:numPr>
                <w:ilvl w:val="0"/>
                <w:numId w:val="7"/>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型号、规格：进口压力≤1.6MPa， 出口压力：0.5-0.6MPa(可调），含配套阀门（压力表，安全阀，截止阀等）</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氧气分气缸</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1、名称：氧气分气缸</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2、规格：不锈钢，1进4出，含配套阀门等配件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氧气汇流排10+10</w:t>
            </w:r>
            <w:r/>
          </w:p>
        </w:tc>
        <w:tc>
          <w:tcPr>
            <w:shd w:val="clear" w:color="auto" w:fill="auto"/>
            <w:tcW w:w="1997" w:type="pct"/>
            <w:vAlign w:val="center"/>
            <w:textDirection w:val="lrTb"/>
            <w:noWrap w:val="false"/>
          </w:tcPr>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名称:氧气汇流排10+10</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规格:10+10</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输出压力:0.6MPa（可调）</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切换方式:全自动切换，也可手动也换</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显示方式:数显</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提供所投产品制造商有效期内的国家II类医疗器械注册证。</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汇流排供应源应能自动切换使用。</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氧气二级减压箱</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 氧气二级减压箱</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2、型号、规格：双路减压，1用1备</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护士站报警器(三气）</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1、名称：护士站报警器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2、规格：三气，超欠压声光报警功能；显示：触摸屏</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护士站报警器(四气）</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1、名称：护士站报警器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2、规格：四气，超欠压声光报警功能；显示：触摸屏</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中央报警系统</w:t>
            </w:r>
            <w:r/>
          </w:p>
        </w:tc>
        <w:tc>
          <w:tcPr>
            <w:shd w:val="clear" w:color="auto" w:fill="auto"/>
            <w:tcW w:w="1997" w:type="pct"/>
            <w:vAlign w:val="center"/>
            <w:textDirection w:val="lrTb"/>
            <w:noWrap w:val="false"/>
          </w:tcPr>
          <w:p>
            <w:pPr>
              <w:numPr>
                <w:ilvl w:val="0"/>
                <w:numId w:val="9"/>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规格、线制：中央报警系统</w:t>
            </w:r>
            <w:r/>
          </w:p>
          <w:p>
            <w:pPr>
              <w:numPr>
                <w:ilvl w:val="0"/>
                <w:numId w:val="9"/>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要求：1.实时监测</w:t>
            </w:r>
            <w:r>
              <w:rPr>
                <w:rFonts w:hint="eastAsia" w:ascii="宋体" w:hAnsi="宋体" w:eastAsia="宋体" w:cs="宋体"/>
                <w:i w:val="0"/>
                <w:iCs w:val="0"/>
                <w:color w:val="auto"/>
                <w:sz w:val="21"/>
                <w:szCs w:val="21"/>
                <w:u w:val="none"/>
                <w:lang w:val="en-US" w:eastAsia="zh-CN" w:bidi="ar"/>
              </w:rPr>
              <w:t xml:space="preserve">关键参数，并通过数据总线传输至中央监控中心进行分析                                             3、系统由传感器，现场采集器，区域报警器，监控主机，软件系统等组成                                                4、实现全院医用气体气源设备及各用气科室信息化管理，保障医用气体安全稳定运行，提升管理形象                               5、高清大屏清晰易读，具有数据记录，运行曲线，分析报表功能</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报警器检修阀门</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1、名称：报警器检修阀门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3、型号、规格：ф6</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医用无缝不锈钢管ф45*2.5（1）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2、规格：ф45*2.5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医用无缝不锈钢管ф38*2.5(1)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2、规格：ф38*2.5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医用无缝不锈钢管ф32*2.0（1）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2、规格：ф32*2.0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医用无缝不锈钢管ф25*2.0（1）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2、规格：ф25*2.0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1380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医用无缝不锈钢管ф18*2.0（1）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2、规格：ф18*2.0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脱脂紫铜管ф10*1.0（1）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脱脂紫铜管ф8*1.0（1）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2、规格：ф8*1.0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2025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管道支架（1）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金属结构刷油（1）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氧气截止阀</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1、名称：氧气截止阀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3、型号、规格：ф32</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4、连接形式：焊接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三片式焊接球阀ф25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1、名称：三片式焊接球阀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3、型号、规格：ф25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4、连接形式：焊接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三片式焊接球阀ф18</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1、名称：三片式焊接球阀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3、型号、规格：ф18</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4、连接形式：焊接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三片式焊接球阀ф14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1、名称：三片式焊接球阀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3、型号、规格：ф14</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4、连接形式：焊接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氧气铜截止阀/检修阀</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1、名称：氧气铜截止阀/检修阀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2、型号、规格：ф8</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氧气流量计</w:t>
            </w:r>
            <w:r/>
          </w:p>
        </w:tc>
        <w:tc>
          <w:tcPr>
            <w:shd w:val="clear" w:color="auto" w:fill="auto"/>
            <w:tcW w:w="1997" w:type="pct"/>
            <w:vAlign w:val="center"/>
            <w:textDirection w:val="lrTb"/>
            <w:noWrap w:val="false"/>
          </w:tcPr>
          <w:p>
            <w:pPr>
              <w:numPr>
                <w:ilvl w:val="0"/>
                <w:numId w:val="1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气体质量流量仪的工作压力范围为0～0.6MPa</w:t>
            </w:r>
            <w:r/>
          </w:p>
          <w:p>
            <w:pPr>
              <w:numPr>
                <w:ilvl w:val="0"/>
                <w:numId w:val="1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流量范围：2L/min～200L/min</w:t>
            </w:r>
            <w:r/>
          </w:p>
          <w:p>
            <w:pPr>
              <w:numPr>
                <w:ilvl w:val="0"/>
                <w:numId w:val="1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规格：D14~25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氧气终端</w:t>
            </w:r>
            <w:r/>
          </w:p>
        </w:tc>
        <w:tc>
          <w:tcPr>
            <w:shd w:val="clear" w:color="auto" w:fill="auto"/>
            <w:tcW w:w="1997" w:type="pct"/>
            <w:vAlign w:val="center"/>
            <w:textDirection w:val="lrTb"/>
            <w:noWrap w:val="false"/>
          </w:tcPr>
          <w:p>
            <w:pPr>
              <w:numPr>
                <w:ilvl w:val="0"/>
                <w:numId w:val="11"/>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名称：氧气终端</w:t>
            </w:r>
            <w:r/>
          </w:p>
          <w:p>
            <w:pPr>
              <w:numPr>
                <w:ilvl w:val="0"/>
                <w:numId w:val="11"/>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制式：德标，含防尘帽、护圈等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eastAsia="宋体" w:cs="宋体"/>
                <w:b/>
                <w:bCs/>
                <w:i w:val="0"/>
                <w:iCs w:val="0"/>
                <w:color w:val="auto"/>
                <w:sz w:val="21"/>
                <w:szCs w:val="21"/>
                <w:highlight w:val="none"/>
                <w:u w:val="none"/>
                <w:lang w:val="en-US" w:eastAsia="zh-CN" w:bidi="ar"/>
              </w:rPr>
              <w:t xml:space="preserve">有效期内的</w:t>
            </w:r>
            <w:r>
              <w:rPr>
                <w:rFonts w:hint="eastAsia" w:ascii="宋体" w:hAnsi="宋体" w:eastAsia="宋体" w:cs="宋体"/>
                <w:b/>
                <w:bCs/>
                <w:i w:val="0"/>
                <w:iCs w:val="0"/>
                <w:color w:val="auto"/>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二、医用中心吸引系统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医用真空负压一体式机组(1)</w:t>
            </w:r>
            <w:r/>
          </w:p>
        </w:tc>
        <w:tc>
          <w:tcPr>
            <w:shd w:val="clear" w:color="auto" w:fill="auto"/>
            <w:tcW w:w="1997" w:type="pct"/>
            <w:vAlign w:val="center"/>
            <w:textDirection w:val="lrTb"/>
            <w:noWrap w:val="false"/>
          </w:tcPr>
          <w:p>
            <w:pPr>
              <w:numPr>
                <w:ilvl w:val="0"/>
                <w:numId w:val="12"/>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名称：医用真空负压一体式机组</w:t>
            </w:r>
            <w:r/>
          </w:p>
          <w:p>
            <w:pPr>
              <w:numPr>
                <w:ilvl w:val="0"/>
                <w:numId w:val="12"/>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规格：油润旋片式真空泵3台（2用1备），单台泵功率≥4.0KW，机组总抽速≥400m³/h(不含备用机）</w:t>
            </w:r>
            <w:r/>
          </w:p>
          <w:p>
            <w:pPr>
              <w:numPr>
                <w:ilvl w:val="0"/>
                <w:numId w:val="12"/>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类型：全自动中央电器控制柜一台，，含控制柜与设备间连接电缆；内置网络式报警系统一套；配套压力传感器及内部管道连接组件；负压泵进气过滤器3只；内置0.75m³真空罐1个；</w:t>
            </w:r>
            <w:r/>
          </w:p>
          <w:p>
            <w:pPr>
              <w:numPr>
                <w:ilvl w:val="0"/>
                <w:numId w:val="12"/>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减振装置形式、数量：一体式抗振底座。</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医用真空罐(1)</w:t>
            </w:r>
            <w:r/>
          </w:p>
        </w:tc>
        <w:tc>
          <w:tcPr>
            <w:shd w:val="clear" w:color="auto" w:fill="auto"/>
            <w:tcW w:w="1997" w:type="pct"/>
            <w:vAlign w:val="center"/>
            <w:textDirection w:val="lrTb"/>
            <w:noWrap w:val="false"/>
          </w:tcPr>
          <w:p>
            <w:pPr>
              <w:numPr>
                <w:ilvl w:val="0"/>
                <w:numId w:val="13"/>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  医用真空罐</w:t>
            </w:r>
            <w:r/>
          </w:p>
          <w:p>
            <w:pPr>
              <w:numPr>
                <w:ilvl w:val="0"/>
                <w:numId w:val="13"/>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型号、规格：2m3，碳钢</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真空除菌过滤器(1)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1、名称：真空除菌过滤器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2、规格：处理量≥450m3/h，除菌效率≥99.99%</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吸引集气缸(1)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1、名称：吸引集气缸</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2、材质、规格：不锈钢，1进4出；含配套阀门等配件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排气口灭菌器(1)</w:t>
            </w:r>
            <w:r/>
          </w:p>
        </w:tc>
        <w:tc>
          <w:tcPr>
            <w:shd w:val="clear" w:color="auto" w:fill="auto"/>
            <w:tcW w:w="1997" w:type="pct"/>
            <w:vAlign w:val="center"/>
            <w:textDirection w:val="lrTb"/>
            <w:noWrap w:val="false"/>
          </w:tcPr>
          <w:p>
            <w:pPr>
              <w:numPr>
                <w:ilvl w:val="0"/>
                <w:numId w:val="14"/>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类型：排气口灭菌器</w:t>
            </w:r>
            <w:r/>
          </w:p>
          <w:p>
            <w:pPr>
              <w:numPr>
                <w:ilvl w:val="0"/>
                <w:numId w:val="14"/>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型号、规格：Q=450m3/h；P≥4.5KW</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医用无缝不锈钢管ф89*3.0</w:t>
            </w:r>
            <w:r/>
          </w:p>
        </w:tc>
        <w:tc>
          <w:tcPr>
            <w:shd w:val="clear" w:color="auto" w:fill="auto"/>
            <w:tcW w:w="1997" w:type="pct"/>
            <w:vAlign w:val="center"/>
            <w:textDirection w:val="lrTb"/>
            <w:noWrap w:val="false"/>
          </w:tcPr>
          <w:p>
            <w:pPr>
              <w:numPr>
                <w:ilvl w:val="0"/>
                <w:numId w:val="1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材质：医用无缝不锈钢管</w:t>
            </w:r>
            <w:r/>
          </w:p>
          <w:p>
            <w:pPr>
              <w:numPr>
                <w:ilvl w:val="0"/>
                <w:numId w:val="1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规格：ф89*3.0</w:t>
            </w:r>
            <w:r/>
          </w:p>
          <w:p>
            <w:pPr>
              <w:numPr>
                <w:ilvl w:val="0"/>
                <w:numId w:val="1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焊接方法：氩弧焊，含管件</w:t>
            </w:r>
            <w:r/>
          </w:p>
          <w:p>
            <w:pPr>
              <w:numPr>
                <w:ilvl w:val="0"/>
                <w:numId w:val="15"/>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医用无缝不锈钢管ф57*2.5</w:t>
            </w:r>
            <w:r/>
          </w:p>
        </w:tc>
        <w:tc>
          <w:tcPr>
            <w:shd w:val="clear" w:color="auto" w:fill="auto"/>
            <w:tcW w:w="1997" w:type="pct"/>
            <w:vAlign w:val="center"/>
            <w:textDirection w:val="lrTb"/>
            <w:noWrap w:val="false"/>
          </w:tcPr>
          <w:p>
            <w:pPr>
              <w:numPr>
                <w:ilvl w:val="0"/>
                <w:numId w:val="1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材质：医用无缝不锈钢管</w:t>
            </w:r>
            <w:r/>
          </w:p>
          <w:p>
            <w:pPr>
              <w:numPr>
                <w:ilvl w:val="0"/>
                <w:numId w:val="1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规格：ф57*2.5</w:t>
            </w:r>
            <w:r/>
          </w:p>
          <w:p>
            <w:pPr>
              <w:numPr>
                <w:ilvl w:val="0"/>
                <w:numId w:val="1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焊接方法：氩弧焊，含管件</w:t>
            </w:r>
            <w:r/>
          </w:p>
          <w:p>
            <w:pPr>
              <w:numPr>
                <w:ilvl w:val="0"/>
                <w:numId w:val="1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医用无缝不锈钢管ф45*2.5（2）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2、规格：ф45*2.5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医用无缝不锈钢管ф38*2.5(2)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2、规格：ф38*2.5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医用无缝不锈钢管ф32*2.0（2）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2、规格：ф32*2.0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脱脂紫铜管ф12*1.0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 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2、规格：ф12*1.0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脱脂紫铜管ф10*1.0（2）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 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1945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镀锌钢管</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2、规格、压力等级：DN50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3、连接形式：丝接，含管件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4、压力试验及吹、洗设计要求 警示带形式：按规范要求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管道支架（2）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金属结构刷油（2）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不锈钢球阀DN50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2、型号、规格：DN50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不锈钢球阀DN40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2、型号、规格：DN40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不锈钢球阀DN32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2、型号、规格：DN32</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不锈钢球阀DN25（1）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铜截止阀/检修阀ф8(1)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1、名称：铜截止阀/检修阀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2、型号、规格：ф8</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吸引终端</w:t>
            </w:r>
            <w:r/>
          </w:p>
        </w:tc>
        <w:tc>
          <w:tcPr>
            <w:shd w:val="clear" w:color="auto" w:fill="auto"/>
            <w:tcW w:w="1997" w:type="pct"/>
            <w:vAlign w:val="center"/>
            <w:textDirection w:val="lrTb"/>
            <w:noWrap w:val="false"/>
          </w:tcPr>
          <w:p>
            <w:pPr>
              <w:numPr>
                <w:ilvl w:val="0"/>
                <w:numId w:val="17"/>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名称：吸引终端</w:t>
            </w:r>
            <w:r/>
          </w:p>
          <w:p>
            <w:pPr>
              <w:numPr>
                <w:ilvl w:val="0"/>
                <w:numId w:val="17"/>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制式：德标，含防尘帽、护圈等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eastAsia="宋体" w:cs="宋体"/>
                <w:b/>
                <w:bCs/>
                <w:i w:val="0"/>
                <w:iCs w:val="0"/>
                <w:color w:val="auto"/>
                <w:sz w:val="21"/>
                <w:szCs w:val="21"/>
                <w:highlight w:val="none"/>
                <w:u w:val="none"/>
                <w:lang w:val="en-US" w:eastAsia="zh-CN" w:bidi="ar"/>
              </w:rPr>
              <w:t xml:space="preserve">有效期内的</w:t>
            </w:r>
            <w:r>
              <w:rPr>
                <w:rFonts w:hint="eastAsia" w:ascii="宋体" w:hAnsi="宋体" w:eastAsia="宋体" w:cs="宋体"/>
                <w:b/>
                <w:bCs/>
                <w:i w:val="0"/>
                <w:iCs w:val="0"/>
                <w:color w:val="auto"/>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三、医用空气集中供应系统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医用压缩空气一体式机组</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1、名称：医用压缩空气一体式机组</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2、类别：无油涡旋式空压机3台（2用1备），单台功率≤7.5KW,机组流量≥1.9m³/min（不含备用机）；压缩机后冷却器3台</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3.全自动中央电器控制柜1台，含控制柜与设备间连接电缆；</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4.无热再生吸附式干燥机2台，单台处理量≥2m³/min;</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5.空压机进气过滤器2只</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6.预滤器（带滤芯更换指示器）2套，后过滤器（带滤芯更换指示器）2套;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7.一氧化碳浓度监测仪器1套；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8.露点监测仪1套；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9.手/自动液位式电子排水阀1套；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10.内置储气罐1台；</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11.减压阀组及调压装置2套，1用1备；</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12.压力传感器及管道连接组件3套；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13.网络式报警系统1套。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rPr>
                <w:rFonts w:hint="eastAsia" w:ascii="宋体" w:hAnsi="宋体" w:eastAsia="宋体" w:cs="宋体"/>
                <w:b/>
                <w:bCs/>
                <w:i w:val="0"/>
                <w:iCs w:val="0"/>
                <w:color w:val="auto"/>
                <w:sz w:val="21"/>
                <w:szCs w:val="21"/>
                <w:highlight w:val="none"/>
                <w:u w:val="none"/>
                <w:lang w:val="en-US" w:eastAsia="zh-CN" w:bidi="ar"/>
              </w:rPr>
              <w:t xml:space="preserve">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空气储气罐(1)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  空气储气罐</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2、规格：碳钢；2.0m3，1.0Mpa</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压缩空气分气缸</w:t>
            </w:r>
            <w:r/>
          </w:p>
        </w:tc>
        <w:tc>
          <w:tcPr>
            <w:shd w:val="clear" w:color="auto" w:fill="auto"/>
            <w:tcW w:w="1997" w:type="pct"/>
            <w:vAlign w:val="center"/>
            <w:textDirection w:val="lrTb"/>
            <w:noWrap w:val="false"/>
          </w:tcPr>
          <w:p>
            <w:pPr>
              <w:numPr>
                <w:ilvl w:val="0"/>
                <w:numId w:val="18"/>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名称：压缩空气分气缸</w:t>
            </w:r>
            <w:r/>
          </w:p>
          <w:p>
            <w:pPr>
              <w:numPr>
                <w:ilvl w:val="0"/>
                <w:numId w:val="18"/>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规格：不锈钢，1进4出，含配套阀门等配件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医用无缝不锈钢管ф45*2.5（3)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2、规格：ф45*2.5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医用无缝不锈钢管ф32*2.0（3）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2、规格：ф32*2.0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医用无缝不锈钢管ф25*2.0（2）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2、规格：ф25*2.0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912.1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医用无缝不锈钢管ф18*2.0（2）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2、规格：ф18*2.0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脱脂紫铜管ф10*1.0（3）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389</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脱脂紫铜管ф8*1.0（2）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2、规格：ф8*1.0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管道支架（3）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金属结构刷油（3）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不锈钢球阀DN25（2）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不锈钢球阀DN20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不锈钢球阀DN15（1）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2、型号、规格：DN15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铜截止阀/检修阀ф8(2)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1、名称：铜截止阀/检修阀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2、型号、规格：ф8</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压缩空气终端</w:t>
            </w:r>
            <w:r/>
          </w:p>
        </w:tc>
        <w:tc>
          <w:tcPr>
            <w:shd w:val="clear" w:color="auto" w:fill="auto"/>
            <w:tcW w:w="1997" w:type="pct"/>
            <w:vAlign w:val="center"/>
            <w:textDirection w:val="lrTb"/>
            <w:noWrap w:val="false"/>
          </w:tcPr>
          <w:p>
            <w:pPr>
              <w:numPr>
                <w:ilvl w:val="0"/>
                <w:numId w:val="19"/>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名称：压缩空气终端</w:t>
            </w:r>
            <w:r/>
          </w:p>
          <w:p>
            <w:pPr>
              <w:numPr>
                <w:ilvl w:val="0"/>
                <w:numId w:val="19"/>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制式：德标，含防尘帽、护圈等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eastAsia="宋体" w:cs="宋体"/>
                <w:b/>
                <w:bCs/>
                <w:i w:val="0"/>
                <w:iCs w:val="0"/>
                <w:color w:val="auto"/>
                <w:sz w:val="21"/>
                <w:szCs w:val="21"/>
                <w:highlight w:val="none"/>
                <w:u w:val="none"/>
                <w:lang w:val="en-US" w:eastAsia="zh-CN" w:bidi="ar"/>
              </w:rPr>
              <w:t xml:space="preserve">有效期内的</w:t>
            </w:r>
            <w:r>
              <w:rPr>
                <w:rFonts w:hint="eastAsia" w:ascii="宋体" w:hAnsi="宋体" w:eastAsia="宋体" w:cs="宋体"/>
                <w:b/>
                <w:bCs/>
                <w:i w:val="0"/>
                <w:iCs w:val="0"/>
                <w:color w:val="auto"/>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109</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 四、感染楼医用中心吸引系统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医用真空负压一体式机组(2)</w:t>
            </w:r>
            <w:r/>
          </w:p>
        </w:tc>
        <w:tc>
          <w:tcPr>
            <w:shd w:val="clear" w:color="auto" w:fill="auto"/>
            <w:tcW w:w="1997" w:type="pct"/>
            <w:vAlign w:val="center"/>
            <w:textDirection w:val="lrTb"/>
            <w:noWrap w:val="false"/>
          </w:tcPr>
          <w:p>
            <w:pPr>
              <w:numPr>
                <w:ilvl w:val="0"/>
                <w:numId w:val="2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名称：医用真空负压一体式机组</w:t>
            </w:r>
            <w:r/>
          </w:p>
          <w:p>
            <w:pPr>
              <w:numPr>
                <w:ilvl w:val="0"/>
                <w:numId w:val="2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规格：油润旋片式真空泵2台（1用1备），单台泵功率≥1.1KW，单机抽速≥43m³/h</w:t>
            </w:r>
            <w:r/>
          </w:p>
          <w:p>
            <w:pPr>
              <w:numPr>
                <w:ilvl w:val="0"/>
                <w:numId w:val="2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机组配置1套中央控制器，独立显示系统真空压力、真空泵运行顺序显示、运行状况、保养服务提示、系统报警、停机显示、备用运行时报警。机组配置2套真空泵控制器，每台真空泵设有独立电路系统，中央控制器故障时，能自动转至真空压力开关控制，确保连续供气</w:t>
            </w:r>
            <w:r/>
          </w:p>
          <w:p>
            <w:pPr>
              <w:numPr>
                <w:ilvl w:val="0"/>
                <w:numId w:val="2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减振装置形式、数量：一体式抗振底座。</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医用真空罐(2)</w:t>
            </w:r>
            <w:r/>
          </w:p>
        </w:tc>
        <w:tc>
          <w:tcPr>
            <w:shd w:val="clear" w:color="auto" w:fill="auto"/>
            <w:tcW w:w="1997" w:type="pct"/>
            <w:vAlign w:val="center"/>
            <w:textDirection w:val="lrTb"/>
            <w:noWrap w:val="false"/>
          </w:tcPr>
          <w:p>
            <w:pPr>
              <w:numPr>
                <w:ilvl w:val="0"/>
                <w:numId w:val="21"/>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名称：医用真空罐</w:t>
            </w:r>
            <w:r/>
          </w:p>
          <w:p>
            <w:pPr>
              <w:numPr>
                <w:ilvl w:val="0"/>
                <w:numId w:val="21"/>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型号、规格：0.5m3，碳钢</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真空除菌过滤器(2)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1、名称：真空除菌过滤器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2、规格：处理量≥40m3/h，除菌效率≥99.99%</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吸引集气缸(2)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1、名称：吸引集气缸</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2、材质、规格：不锈钢，1进2出；含配套阀门等配件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排气口灭菌器(2)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1、类型：排气口灭菌器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2、型号、规格：Q≥200m3/h；P≥2KW</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五、牙科空压</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医用风冷无油空压机</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1、名称：医用风冷无油空压机</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2、型号：无油活塞空压主机，0.4m³/min，2.2KW，0.8MPa</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3、类别：1套冷冻室干燥机，单套1m³/min，220V，压力露点3℃至10℃，1用1备；3级过滤器，1m³/min，含汽水分离器/精密过滤器、高效过滤器/除尘过滤器，过滤精度0.01μm，自带排水器。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4、结构、规格：内置100 L/304不锈钢储气罐，1..0MPa，配自动排水器；一体式撬装机座，内部不锈钢管道连接。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医用不锈钢管ф18*1.0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2、规格：ф18*1.0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脱脂紫铜管ф10*1.0（4）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 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管道支架（4）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金属结构刷油（4）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不锈钢球阀DN15（2）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2、型号、规格：DN15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六、二氧化碳系统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二氧化碳汇流排2+2</w:t>
            </w:r>
            <w:r/>
          </w:p>
        </w:tc>
        <w:tc>
          <w:tcPr>
            <w:shd w:val="clear" w:color="auto" w:fill="auto"/>
            <w:tcW w:w="1997" w:type="pct"/>
            <w:vAlign w:val="center"/>
            <w:textDirection w:val="lrTb"/>
            <w:noWrap w:val="false"/>
          </w:tcPr>
          <w:p>
            <w:pPr>
              <w:numPr>
                <w:ilvl w:val="0"/>
                <w:numId w:val="22"/>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型号、规格：二氧化碳汇流排2+2</w:t>
            </w:r>
            <w:r/>
          </w:p>
          <w:p>
            <w:pPr>
              <w:numPr>
                <w:ilvl w:val="0"/>
                <w:numId w:val="22"/>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类型：输出压力:0.6MPa（可调）；切换方式:全自动切换，也可手动也换；显示方式:数显</w:t>
            </w:r>
            <w:r/>
          </w:p>
          <w:p>
            <w:pPr>
              <w:numPr>
                <w:ilvl w:val="0"/>
                <w:numId w:val="22"/>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提供所投产品制造商有效期内的国家II类医疗器械注册证。</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汇流排供应源应能自动切换使用。</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医用无缝不锈钢管ф25*2.0（3）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2、规格：ф25*2.0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医用无缝不锈钢管ф18*2.0（3）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2、规格：ф18*2.0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脱脂紫铜管ф10*1.0（5）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脱脂紫铜管ф8*1.0（3）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2、规格：ф8*1.0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管道支架（5）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金属结构刷油（5）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不锈钢球阀DN15（3）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2、型号、规格：DN15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二氧化碳铜截止阀/检修阀ф8</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1、名称：二氧化碳铜截止阀/检修阀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2、型号、规格：ф8</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二氧化碳终端</w:t>
            </w:r>
            <w:r/>
          </w:p>
        </w:tc>
        <w:tc>
          <w:tcPr>
            <w:shd w:val="clear" w:color="auto" w:fill="auto"/>
            <w:tcW w:w="1997" w:type="pct"/>
            <w:vAlign w:val="center"/>
            <w:textDirection w:val="lrTb"/>
            <w:noWrap w:val="false"/>
          </w:tcPr>
          <w:p>
            <w:pPr>
              <w:numPr>
                <w:ilvl w:val="0"/>
                <w:numId w:val="23"/>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名称：二氧化碳终端</w:t>
            </w:r>
            <w:r/>
          </w:p>
          <w:p>
            <w:pPr>
              <w:numPr>
                <w:ilvl w:val="0"/>
                <w:numId w:val="23"/>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制式：德标，含防尘帽、护圈等。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eastAsia="宋体" w:cs="宋体"/>
                <w:b/>
                <w:bCs/>
                <w:i w:val="0"/>
                <w:iCs w:val="0"/>
                <w:color w:val="auto"/>
                <w:sz w:val="21"/>
                <w:szCs w:val="21"/>
                <w:highlight w:val="none"/>
                <w:u w:val="none"/>
                <w:lang w:val="en-US" w:eastAsia="zh-CN" w:bidi="ar"/>
              </w:rPr>
              <w:t xml:space="preserve">有效期内的</w:t>
            </w:r>
            <w:r>
              <w:rPr>
                <w:rFonts w:hint="eastAsia" w:ascii="宋体" w:hAnsi="宋体" w:eastAsia="宋体" w:cs="宋体"/>
                <w:b/>
                <w:bCs/>
                <w:i w:val="0"/>
                <w:iCs w:val="0"/>
                <w:color w:val="auto"/>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七、器械空气系统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无油涡旋空气压缩机一体式</w:t>
            </w:r>
            <w:r/>
          </w:p>
        </w:tc>
        <w:tc>
          <w:tcPr>
            <w:shd w:val="clear" w:color="auto" w:fill="auto"/>
            <w:tcW w:w="1997" w:type="pct"/>
            <w:vAlign w:val="center"/>
            <w:textDirection w:val="lrTb"/>
            <w:noWrap w:val="false"/>
          </w:tcPr>
          <w:p>
            <w:pPr>
              <w:numPr>
                <w:ilvl w:val="0"/>
                <w:numId w:val="24"/>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名称：无油涡旋空气压缩机一体式</w:t>
            </w:r>
            <w:r/>
          </w:p>
          <w:p>
            <w:pPr>
              <w:numPr>
                <w:ilvl w:val="0"/>
                <w:numId w:val="24"/>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型号：无油涡旋式空压机2台（1用1备），单台功率≤5.5KW,机组流量≥0.7m³/min（不含备用机）；压缩机后冷却器2台；全自动中央电器控制柜1台；无热再生吸附式干燥机2台，单台处理量≥2m³/min;空压机进气过滤器2只；预滤器（带滤芯更换指示器）2套，后过滤器（带滤芯更换指示器）2套;一氧化碳浓度监测仪器1套；露点监测仪1套；手/自动液位式电子排水阀1套；内置储气罐1台；减压阀组及调压装置2套，1用1备；压力传感器及管道连接组件3套；网络式报警系统1套。</w:t>
            </w:r>
            <w:r/>
          </w:p>
          <w:p>
            <w:pPr>
              <w:numPr>
                <w:ilvl w:val="0"/>
                <w:numId w:val="24"/>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结构、规格：含站内设备间连接管道及管配件、阀门等。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空气储气罐(2)</w:t>
            </w:r>
            <w:r/>
          </w:p>
        </w:tc>
        <w:tc>
          <w:tcPr>
            <w:shd w:val="clear" w:color="auto" w:fill="auto"/>
            <w:tcW w:w="1997" w:type="pct"/>
            <w:vAlign w:val="center"/>
            <w:textDirection w:val="lrTb"/>
            <w:noWrap w:val="false"/>
          </w:tcPr>
          <w:p>
            <w:pPr>
              <w:numPr>
                <w:ilvl w:val="0"/>
                <w:numId w:val="25"/>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名称：空气储气罐</w:t>
            </w:r>
            <w:r/>
          </w:p>
          <w:p>
            <w:pPr>
              <w:numPr>
                <w:ilvl w:val="0"/>
                <w:numId w:val="25"/>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型号、规格：1.0m3，碳钢；压力:1.0MPa</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空气双路减压装置</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1、名称：空气双路减压装置</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2、型号、规格：双路减压器，一用一备</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空压站配电箱</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1、名称：空压站配电箱</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2、规格：含至设备控制线缆及配管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3、接线端子材质、规格：6mm2以下端子接线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4、安装方式：壁挂式安装</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医用无缝不锈钢管ф25*2.0（4）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2、规格：ф25*2.0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管道支架（6）</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金属结构刷油（6）</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不锈钢球阀DN25（3）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2、型号、规格：DN25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八、设备带及其他</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医疗设备带</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1、名称：医疗设备带</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2、材质：铝合金，壁厚:≥1.5mm</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3、规格：三腔结构</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1025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房间支管开槽</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1、名称：房间支管开槽</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2、规格：包含套管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3、类型：开槽尺寸:二气：宽100*深30，三气：宽150*深30，四气：宽180*深30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336</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电线管PVCDN20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1、名称：电线管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2、材质：PVC</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3、规格：DN20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4、配置形式：设备带内敷设</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铜芯线ZR-BV-1.5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3、型号：ZR-BV-1.5mm2</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铜芯线ZR-BV-2.5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3、型号：ZR-BV-2.5mm2</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漏电保护器</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1.额定电流：16A</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2.极数1P+N</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五孔插座</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1、名称：五孔插座</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2、规格：86型，10A</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单联单控开关</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1、名称：单联单控开关</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2、规格：86型</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嵌入式床头灯</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1、名称:嵌入式床头灯</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2、功率：8W</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3、输入电压：220V</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套管DN100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1、名称、类型：过楼板钢套管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3、规格：DN100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套管DN80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1、名称、类型：过楼板钢套管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3、规格：DN80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套管DN50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1、名称、类型：过楼板钢套管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3、规格：DN50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套管DN40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1、名称、类型：过楼板钢套管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3、规格：DN40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九、数据采集、监视报警</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区域压力监视报警器  </w:t>
            </w:r>
            <w:r/>
          </w:p>
        </w:tc>
        <w:tc>
          <w:tcPr>
            <w:shd w:val="clear" w:color="auto" w:fill="auto"/>
            <w:tcW w:w="1997" w:type="pct"/>
            <w:vAlign w:val="center"/>
            <w:textDirection w:val="lrTb"/>
            <w:noWrap w:val="false"/>
          </w:tcPr>
          <w:p>
            <w:pPr>
              <w:numPr>
                <w:ilvl w:val="0"/>
                <w:numId w:val="2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名称：区域压力监视报警器  </w:t>
            </w:r>
            <w:r/>
          </w:p>
          <w:p>
            <w:pPr>
              <w:numPr>
                <w:ilvl w:val="0"/>
                <w:numId w:val="2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类型：对病区区域三种气体压力及氧气流量等数据进行监测。液晶屏图形及显示气体压力值，超、欠压报警。带485通讯接口，含数据采集箱开关电源。</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传感器</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1、名称：电脑</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KBG管DN20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1、名称：电气配管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2、材质：KBG管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3、规格：DN20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4、配置形式：暗配，含开槽及修补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1151.7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铜芯线RVSP-2*0.75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3、规格：RVSP-2*0.75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396</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铜芯线RVVP-2*0.75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3、规格：RVVP-2*0.75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688.3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铜芯线RVS-2*0.75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3、规格：RVS-2*0.75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热镀锌桥架</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1、名称：热镀锌桥架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2、规格：200*100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3、接地方式：按设计要求</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4、隔板：含桥架隔板、盖板等</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铁构件</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1、名称：支吊架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2、规格：型钢综合，含刷漆防腐</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铜芯电力电缆YJV-3*16+2*10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1、名称：铜芯电力电缆</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2、规格：YJV-3*16+2*10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铜芯电力电缆YJV-3*16+10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1、名称：铜芯电力电缆</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2、规格：YJV-3*16+10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铜芯电力电缆YJV-3*4+2*2.5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1、名称：铜芯电力电缆</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2、规格：YJV-3*4+2*2.5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电力电缆头</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1、名称：铜芯电力电缆头</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2、型号：16mm2以下</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铜芯线RVVP-2*0.5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3、规格：RVVP-2*0.5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铜芯线RVSP-2*0.5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3、规格：RVSP-2*0.5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铜芯线RVVP-6*0.5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3、规格：RVVP-6*0.5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r>
    </w:tbl>
    <w:p>
      <w:pPr>
        <w:numPr>
          <w:ilvl w:val="0"/>
          <w:numId w:val="0"/>
        </w:numPr>
        <w:jc w:val="center"/>
        <w:spacing w:line="360" w:lineRule="auto"/>
        <w:rPr>
          <w:rFonts w:hint="eastAsia"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r>
      <w:r/>
    </w:p>
    <w:p>
      <w:pPr>
        <w:numPr>
          <w:ilvl w:val="0"/>
          <w:numId w:val="0"/>
        </w:numPr>
        <w:ind w:firstLine="482"/>
        <w:spacing w:line="360" w:lineRule="auto"/>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r>
      <w:r/>
    </w:p>
    <w:p>
      <w:pPr>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br w:type="page" w:clear="all"/>
      </w:r>
      <w:r/>
    </w:p>
    <w:p>
      <w:pPr>
        <w:numPr>
          <w:ilvl w:val="0"/>
          <w:numId w:val="0"/>
        </w:numPr>
        <w:jc w:val="center"/>
        <w:spacing w:line="360" w:lineRule="auto"/>
        <w:rPr>
          <w:rFonts w:hint="eastAsia"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净化区医用气体</w:t>
      </w:r>
      <w:r/>
    </w:p>
    <w:tbl>
      <w:tblPr>
        <w:tblStyle w:val="1108"/>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4"/>
        <w:gridCol w:w="2748"/>
        <w:gridCol w:w="3420"/>
        <w:gridCol w:w="1024"/>
        <w:gridCol w:w="1055"/>
      </w:tblGrid>
      <w:tr>
        <w:trPr>
          <w:trHeight w:val="312"/>
        </w:trPr>
        <w:tc>
          <w:tcPr>
            <w:shd w:val="clear" w:color="auto" w:fill="auto"/>
            <w:tcW w:w="1000" w:type="dxa"/>
            <w:vAlign w:val="center"/>
            <w:vMerge w:val="restart"/>
            <w:textDirection w:val="lrTb"/>
            <w:noWrap w:val="false"/>
          </w:tcPr>
          <w:p>
            <w:pPr>
              <w:ind w:left="0" w:right="0"/>
              <w:jc w:val="center"/>
              <w:keepLines w:val="0"/>
              <w:keepNext w:val="0"/>
              <w:spacing w:before="0" w:beforeAutospacing="0" w:after="0" w:afterAutospacing="0"/>
              <w:widowControl/>
              <w:rPr>
                <w:rFonts w:ascii="黑体" w:hAnsi="宋体" w:eastAsia="黑体" w:cs="黑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auto"/>
            <w:tcW w:w="268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shd w:val="clear" w:color="auto" w:fill="auto"/>
            <w:tcW w:w="33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参数要求</w:t>
            </w:r>
            <w:r/>
          </w:p>
        </w:tc>
        <w:tc>
          <w:tcPr>
            <w:shd w:val="clear" w:color="auto" w:fill="auto"/>
            <w:tcW w:w="100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计量</w:t>
            </w:r>
            <w:r/>
          </w:p>
          <w:p>
            <w:pPr>
              <w:ind w:left="0" w:right="0"/>
              <w:jc w:val="center"/>
              <w:keepLines w:val="0"/>
              <w:keepNext w:val="0"/>
              <w:spacing w:before="0" w:beforeAutospacing="0" w:after="0" w:afterAutospacing="0"/>
              <w:widowControl/>
              <w:rPr>
                <w:rFonts w:hint="default" w:ascii="黑体" w:hAnsi="宋体" w:eastAsia="黑体" w:cs="黑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单位</w:t>
            </w:r>
            <w:r/>
          </w:p>
        </w:tc>
        <w:tc>
          <w:tcPr>
            <w:shd w:val="clear" w:color="auto" w:fill="auto"/>
            <w:tcW w:w="103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工程量</w:t>
            </w:r>
            <w:r/>
          </w:p>
        </w:tc>
      </w:tr>
      <w:tr>
        <w:trPr>
          <w:trHeight w:val="25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60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一、管路</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04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二氧化碳汇流排2+2</w:t>
            </w:r>
            <w:r/>
          </w:p>
        </w:tc>
        <w:tc>
          <w:tcPr>
            <w:shd w:val="clear" w:color="auto" w:fill="auto"/>
            <w:tcW w:w="3341" w:type="dxa"/>
            <w:vAlign w:val="center"/>
            <w:textDirection w:val="lrTb"/>
            <w:noWrap w:val="false"/>
          </w:tcPr>
          <w:p>
            <w:pPr>
              <w:numPr>
                <w:ilvl w:val="0"/>
                <w:numId w:val="27"/>
              </w:num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型号、规格：二氧化碳汇流排2+2</w:t>
            </w:r>
            <w:r/>
          </w:p>
          <w:p>
            <w:pPr>
              <w:numPr>
                <w:ilvl w:val="0"/>
                <w:numId w:val="27"/>
              </w:num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类型：输出压力:0.6MPa（可调）；切换方式:全自动切换，也可手动也换；显示方式:数显</w:t>
            </w:r>
            <w:r/>
          </w:p>
          <w:p>
            <w:pPr>
              <w:numPr>
                <w:ilvl w:val="0"/>
                <w:numId w:val="27"/>
              </w:num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提供所投产品制造商有效期内的国家II类医疗器械注册证。</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汇流排供应源应能自动切换使用。</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78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氮气自动汇流排</w:t>
            </w:r>
            <w:r/>
          </w:p>
        </w:tc>
        <w:tc>
          <w:tcPr>
            <w:shd w:val="clear" w:color="auto" w:fill="auto"/>
            <w:tcW w:w="3341" w:type="dxa"/>
            <w:vAlign w:val="center"/>
            <w:textDirection w:val="lrTb"/>
            <w:noWrap w:val="false"/>
          </w:tcPr>
          <w:p>
            <w:pPr>
              <w:numPr>
                <w:ilvl w:val="0"/>
                <w:numId w:val="28"/>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名称：氮气自动汇流排</w:t>
            </w:r>
            <w:r/>
          </w:p>
          <w:p>
            <w:pPr>
              <w:numPr>
                <w:ilvl w:val="0"/>
                <w:numId w:val="28"/>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型号：5+5瓶组，全自动切换 配套切换柜，减压阀，高压金属软管，角阀，托架等 具</w:t>
            </w:r>
            <w:r/>
          </w:p>
          <w:p>
            <w:pPr>
              <w:numPr>
                <w:ilvl w:val="0"/>
                <w:numId w:val="28"/>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输出压力:0.6MPa（可调）；</w:t>
            </w:r>
            <w:r/>
          </w:p>
          <w:p>
            <w:pPr>
              <w:numPr>
                <w:ilvl w:val="0"/>
                <w:numId w:val="29"/>
              </w:num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提供所投产品制造商有效期内的国家II类医疗器械注册证。</w:t>
            </w:r>
            <w:r/>
          </w:p>
          <w:p>
            <w:pPr>
              <w:numPr>
                <w:ilvl w:val="0"/>
                <w:numId w:val="29"/>
              </w:numPr>
              <w:ind w:left="0" w:right="0"/>
              <w:jc w:val="left"/>
              <w:keepLines w:val="0"/>
              <w:keepNext w:val="0"/>
              <w:spacing w:before="0" w:beforeAutospacing="0" w:after="0" w:afterAutospacing="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汇流排供应源应能自动切换使用。</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压缩空气二级减压箱</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1、名称：压缩空气二级减压箱</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2、型号、规格：详见设计</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吸引二级减压箱</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1、名称：吸引二级减压箱</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2、型号、规格：详见设计</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氧气流量计</w:t>
            </w:r>
            <w:r/>
          </w:p>
        </w:tc>
        <w:tc>
          <w:tcPr>
            <w:shd w:val="clear" w:color="auto" w:fill="auto"/>
            <w:tcW w:w="3341" w:type="dxa"/>
            <w:vAlign w:val="center"/>
            <w:textDirection w:val="lrTb"/>
            <w:noWrap w:val="false"/>
          </w:tcPr>
          <w:p>
            <w:pPr>
              <w:numPr>
                <w:ilvl w:val="0"/>
                <w:numId w:val="30"/>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名称：氧气流量计</w:t>
            </w:r>
            <w:r/>
          </w:p>
          <w:p>
            <w:pPr>
              <w:numPr>
                <w:ilvl w:val="0"/>
                <w:numId w:val="30"/>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类型：量程:0—200L/min</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区域报警器（三气）</w:t>
            </w:r>
            <w:r/>
          </w:p>
        </w:tc>
        <w:tc>
          <w:tcPr>
            <w:shd w:val="clear" w:color="auto" w:fill="auto"/>
            <w:tcW w:w="3341" w:type="dxa"/>
            <w:vAlign w:val="center"/>
            <w:textDirection w:val="lrTb"/>
            <w:noWrap w:val="false"/>
          </w:tcPr>
          <w:p>
            <w:pPr>
              <w:numPr>
                <w:ilvl w:val="0"/>
                <w:numId w:val="31"/>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名称：区域报警器</w:t>
            </w:r>
            <w:r/>
          </w:p>
          <w:p>
            <w:pPr>
              <w:numPr>
                <w:ilvl w:val="0"/>
                <w:numId w:val="31"/>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规格：三气，含压力传感器，具有超欠压声光报警功能；</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3、提供所投产品制造商有效期内的国家II类医疗器械注册证。</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区域报警器（五气）</w:t>
            </w:r>
            <w:r/>
          </w:p>
        </w:tc>
        <w:tc>
          <w:tcPr>
            <w:shd w:val="clear" w:color="auto" w:fill="auto"/>
            <w:tcW w:w="3341" w:type="dxa"/>
            <w:vAlign w:val="center"/>
            <w:textDirection w:val="lrTb"/>
            <w:noWrap w:val="false"/>
          </w:tcPr>
          <w:p>
            <w:pPr>
              <w:numPr>
                <w:ilvl w:val="0"/>
                <w:numId w:val="32"/>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名称：区域报警器</w:t>
            </w:r>
            <w:r/>
          </w:p>
          <w:p>
            <w:pPr>
              <w:numPr>
                <w:ilvl w:val="0"/>
                <w:numId w:val="32"/>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规格：五气，含压力传感器，具有超欠压声光报警功能；</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3、提供所投产品制造商有效期内的国家II类医疗器械注册证。</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医气阀门箱</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1、名称：医气阀门箱</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2、型号、规格：带总阀和压力表，氧气、空压、负压吸引、二氧化碳、氮气五气</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trHeight w:val="127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压力仪表</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1、名称：电接点压力表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2、规格：1.测压范围:-0.1—2.4MPa</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3、压力表弯材质、规格：含表弯、表阀</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脱脂紫铜管φ54</w:t>
            </w:r>
            <w:r/>
          </w:p>
        </w:tc>
        <w:tc>
          <w:tcPr>
            <w:shd w:val="clear" w:color="auto" w:fill="auto"/>
            <w:tcW w:w="3341" w:type="dxa"/>
            <w:vAlign w:val="center"/>
            <w:textDirection w:val="lrTb"/>
            <w:noWrap w:val="false"/>
          </w:tcPr>
          <w:p>
            <w:pPr>
              <w:numPr>
                <w:ilvl w:val="0"/>
                <w:numId w:val="33"/>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材质：脱脂紫铜管</w:t>
            </w:r>
            <w:r/>
          </w:p>
          <w:p>
            <w:pPr>
              <w:numPr>
                <w:ilvl w:val="0"/>
                <w:numId w:val="33"/>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规格：φ54</w:t>
            </w:r>
            <w:r/>
          </w:p>
          <w:p>
            <w:pPr>
              <w:numPr>
                <w:ilvl w:val="0"/>
                <w:numId w:val="33"/>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焊接方法：银钎焊焊，含管件</w:t>
            </w:r>
            <w:r/>
          </w:p>
          <w:p>
            <w:pPr>
              <w:numPr>
                <w:ilvl w:val="0"/>
                <w:numId w:val="33"/>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158.2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脱脂紫铜管φ35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2、规格：φ35</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脱脂紫铜管φ28</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2、规格：φ28</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164.2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脱脂紫铜管φ22</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2、规格：ф22</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脱脂紫铜管φ15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2、规格：ф15</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518.2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脱脂紫铜管φ12</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2、规格：ф12</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521.7</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脱脂紫铜管φ10</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2、规格：ф10</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1012.6</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高强度废气管PVC De25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1、安装部位：高强度废气管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2、材质、规格：PVC De25</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3、连接形式：粘接，含管件</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142.7</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管道支架</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1、材质：型钢（综合）</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2、管架形式：支吊架</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802</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金属结构刷油</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1、除锈级别：手工除轻锈</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2、涂刷遍数、漆膜厚度：防锈漆二道，调和漆二道</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802</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铜球阀Φ35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2、型号、规格：Φ35</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铜球阀Φ28</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2、型号、规格：Φ28</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铜球阀Φ15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2、型号、规格：ф15</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铜球阀Φ12</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2、型号、规格：ф12</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铜球阀Φ10</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2、型号、规格：ф10</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塑料球阀De25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1、名称：塑料球阀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2、规格：De25</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氧气终端</w:t>
            </w:r>
            <w:r/>
          </w:p>
        </w:tc>
        <w:tc>
          <w:tcPr>
            <w:shd w:val="clear" w:color="auto" w:fill="auto"/>
            <w:tcW w:w="3341" w:type="dxa"/>
            <w:vAlign w:val="center"/>
            <w:textDirection w:val="lrTb"/>
            <w:noWrap w:val="false"/>
          </w:tcPr>
          <w:p>
            <w:pPr>
              <w:numPr>
                <w:ilvl w:val="0"/>
                <w:numId w:val="34"/>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名称：氧气终端</w:t>
            </w:r>
            <w:r/>
          </w:p>
          <w:p>
            <w:pPr>
              <w:numPr>
                <w:ilvl w:val="0"/>
                <w:numId w:val="34"/>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eastAsia="宋体" w:cs="宋体"/>
                <w:b/>
                <w:bCs/>
                <w:i w:val="0"/>
                <w:iCs w:val="0"/>
                <w:color w:val="auto"/>
                <w:sz w:val="21"/>
                <w:szCs w:val="21"/>
                <w:highlight w:val="none"/>
                <w:u w:val="none"/>
                <w:lang w:val="en-US" w:eastAsia="zh-CN" w:bidi="ar"/>
              </w:rPr>
              <w:t xml:space="preserve">有效期内的</w:t>
            </w:r>
            <w:r>
              <w:rPr>
                <w:rFonts w:hint="eastAsia" w:ascii="宋体" w:hAnsi="宋体" w:eastAsia="宋体" w:cs="宋体"/>
                <w:b/>
                <w:bCs/>
                <w:i w:val="0"/>
                <w:iCs w:val="0"/>
                <w:color w:val="auto"/>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吸引终端</w:t>
            </w:r>
            <w:r/>
          </w:p>
        </w:tc>
        <w:tc>
          <w:tcPr>
            <w:shd w:val="clear" w:color="auto" w:fill="auto"/>
            <w:tcW w:w="3341" w:type="dxa"/>
            <w:vAlign w:val="center"/>
            <w:textDirection w:val="lrTb"/>
            <w:noWrap w:val="false"/>
          </w:tcPr>
          <w:p>
            <w:pPr>
              <w:numPr>
                <w:ilvl w:val="0"/>
                <w:numId w:val="35"/>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名称：吸引终端</w:t>
            </w:r>
            <w:r/>
          </w:p>
          <w:p>
            <w:pPr>
              <w:numPr>
                <w:ilvl w:val="0"/>
                <w:numId w:val="35"/>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eastAsia="宋体" w:cs="宋体"/>
                <w:b/>
                <w:bCs/>
                <w:i w:val="0"/>
                <w:iCs w:val="0"/>
                <w:color w:val="auto"/>
                <w:sz w:val="21"/>
                <w:szCs w:val="21"/>
                <w:highlight w:val="none"/>
                <w:u w:val="none"/>
                <w:lang w:val="en-US" w:eastAsia="zh-CN" w:bidi="ar"/>
              </w:rPr>
              <w:t xml:space="preserve">有效期内的</w:t>
            </w:r>
            <w:r>
              <w:rPr>
                <w:rFonts w:hint="eastAsia" w:ascii="宋体" w:hAnsi="宋体" w:eastAsia="宋体" w:cs="宋体"/>
                <w:b/>
                <w:bCs/>
                <w:i w:val="0"/>
                <w:iCs w:val="0"/>
                <w:color w:val="auto"/>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压缩空气终端</w:t>
            </w:r>
            <w:r/>
          </w:p>
        </w:tc>
        <w:tc>
          <w:tcPr>
            <w:shd w:val="clear" w:color="auto" w:fill="auto"/>
            <w:tcW w:w="3341" w:type="dxa"/>
            <w:vAlign w:val="center"/>
            <w:textDirection w:val="lrTb"/>
            <w:noWrap w:val="false"/>
          </w:tcPr>
          <w:p>
            <w:pPr>
              <w:numPr>
                <w:ilvl w:val="0"/>
                <w:numId w:val="36"/>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名称：压缩空气终端</w:t>
            </w:r>
            <w:r/>
          </w:p>
          <w:p>
            <w:pPr>
              <w:numPr>
                <w:ilvl w:val="0"/>
                <w:numId w:val="36"/>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eastAsia="宋体" w:cs="宋体"/>
                <w:b/>
                <w:bCs/>
                <w:i w:val="0"/>
                <w:iCs w:val="0"/>
                <w:color w:val="auto"/>
                <w:sz w:val="21"/>
                <w:szCs w:val="21"/>
                <w:highlight w:val="none"/>
                <w:u w:val="none"/>
                <w:lang w:val="en-US" w:eastAsia="zh-CN" w:bidi="ar"/>
              </w:rPr>
              <w:t xml:space="preserve">有效期内的</w:t>
            </w:r>
            <w:r>
              <w:rPr>
                <w:rFonts w:hint="eastAsia" w:ascii="宋体" w:hAnsi="宋体" w:eastAsia="宋体" w:cs="宋体"/>
                <w:b/>
                <w:bCs/>
                <w:i w:val="0"/>
                <w:iCs w:val="0"/>
                <w:color w:val="auto"/>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二氧化碳终端</w:t>
            </w:r>
            <w:r/>
          </w:p>
        </w:tc>
        <w:tc>
          <w:tcPr>
            <w:shd w:val="clear" w:color="auto" w:fill="auto"/>
            <w:tcW w:w="3341" w:type="dxa"/>
            <w:vAlign w:val="center"/>
            <w:textDirection w:val="lrTb"/>
            <w:noWrap w:val="false"/>
          </w:tcPr>
          <w:p>
            <w:pPr>
              <w:numPr>
                <w:ilvl w:val="0"/>
                <w:numId w:val="37"/>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名称：二氧化碳终端</w:t>
            </w:r>
            <w:r/>
          </w:p>
          <w:p>
            <w:pPr>
              <w:numPr>
                <w:ilvl w:val="0"/>
                <w:numId w:val="37"/>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eastAsia="宋体" w:cs="宋体"/>
                <w:b/>
                <w:bCs/>
                <w:i w:val="0"/>
                <w:iCs w:val="0"/>
                <w:color w:val="auto"/>
                <w:sz w:val="21"/>
                <w:szCs w:val="21"/>
                <w:highlight w:val="none"/>
                <w:u w:val="none"/>
                <w:lang w:val="en-US" w:eastAsia="zh-CN" w:bidi="ar"/>
              </w:rPr>
              <w:t xml:space="preserve">有效期内的</w:t>
            </w:r>
            <w:r>
              <w:rPr>
                <w:rFonts w:hint="eastAsia" w:ascii="宋体" w:hAnsi="宋体" w:eastAsia="宋体" w:cs="宋体"/>
                <w:b/>
                <w:bCs/>
                <w:i w:val="0"/>
                <w:iCs w:val="0"/>
                <w:color w:val="auto"/>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废气终端</w:t>
            </w:r>
            <w:r/>
          </w:p>
        </w:tc>
        <w:tc>
          <w:tcPr>
            <w:shd w:val="clear" w:color="auto" w:fill="auto"/>
            <w:tcW w:w="3341" w:type="dxa"/>
            <w:vAlign w:val="center"/>
            <w:textDirection w:val="lrTb"/>
            <w:noWrap w:val="false"/>
          </w:tcPr>
          <w:p>
            <w:pPr>
              <w:numPr>
                <w:ilvl w:val="0"/>
                <w:numId w:val="38"/>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名称：废气终端</w:t>
            </w:r>
            <w:r/>
          </w:p>
          <w:p>
            <w:pPr>
              <w:numPr>
                <w:ilvl w:val="0"/>
                <w:numId w:val="38"/>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eastAsia="宋体" w:cs="宋体"/>
                <w:b/>
                <w:bCs/>
                <w:i w:val="0"/>
                <w:iCs w:val="0"/>
                <w:color w:val="auto"/>
                <w:sz w:val="21"/>
                <w:szCs w:val="21"/>
                <w:highlight w:val="none"/>
                <w:u w:val="none"/>
                <w:lang w:val="en-US" w:eastAsia="zh-CN" w:bidi="ar"/>
              </w:rPr>
              <w:t xml:space="preserve">有效期内的</w:t>
            </w:r>
            <w:r>
              <w:rPr>
                <w:rFonts w:hint="eastAsia" w:ascii="宋体" w:hAnsi="宋体" w:eastAsia="宋体" w:cs="宋体"/>
                <w:b/>
                <w:bCs/>
                <w:i w:val="0"/>
                <w:iCs w:val="0"/>
                <w:color w:val="auto"/>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25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W w:w="60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二、设备带及其他</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医疗设备带</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1、名称：医疗设备带</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2、材质：铝合金，壁厚:≥1.5mm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3、规格：三腔结构</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铝合金小罩</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1、名称：铝合金小罩</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2、规格：满足气管及管线敷设要求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电线管PVCDN20</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1、名称：电线管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2、材质：PVC</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3、规格：DN20</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4、配置形式：设备带内敷设</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铜芯线ZR-BV-2.5mm2</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1、名称：铜芯线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2、配线形式：管内穿线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3、型号：ZR-BV-2.5mm2</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漏电保护器</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1.额定电流：16A</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2.极数1P+N</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五孔插座</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1、名称：五孔插座</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2、规格：86型，10A</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单联单控开关</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1、名称：单联单控开关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2、规格：86型</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阅读灯</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1、名称:阅读灯</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2、功率：8W</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3、输入电压：220V</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bl>
    <w:p>
      <w:pPr>
        <w:ind w:firstLine="480"/>
        <w:jc w:val="left"/>
        <w:keepLines w:val="0"/>
        <w:keepNext w:val="0"/>
        <w:pageBreakBefore w:val="0"/>
        <w:spacing w:line="360" w:lineRule="auto"/>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说明：</w:t>
      </w:r>
      <w:r/>
    </w:p>
    <w:p>
      <w:pPr>
        <w:ind w:firstLine="482"/>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医用中心供氧系统、医用中心吸引系统、医用空气集中供应系统需提供有效期内的国家II类医疗器械注册证。</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汇流排、报警系统</w:t>
      </w:r>
      <w:r>
        <w:rPr>
          <w:rFonts w:hint="eastAsia" w:ascii="宋体" w:hAnsi="宋体" w:eastAsia="宋体" w:cs="宋体"/>
          <w:b/>
          <w:bCs w:val="0"/>
          <w:color w:val="auto"/>
          <w:sz w:val="24"/>
          <w:highlight w:val="none"/>
          <w:lang w:val="en-US" w:eastAsia="zh-CN"/>
        </w:rPr>
        <w:t xml:space="preserve">、医用空气压缩机、真空负压机需按清单要求提供单独的</w:t>
      </w:r>
      <w:r>
        <w:rPr>
          <w:rFonts w:hint="eastAsia" w:ascii="宋体" w:hAnsi="宋体" w:eastAsia="宋体" w:cs="宋体"/>
          <w:b/>
          <w:bCs w:val="0"/>
          <w:color w:val="auto"/>
          <w:sz w:val="24"/>
          <w:highlight w:val="none"/>
        </w:rPr>
        <w:t xml:space="preserve">《医疗器械注册证》</w:t>
      </w:r>
      <w:r>
        <w:rPr>
          <w:rFonts w:hint="eastAsia" w:ascii="宋体" w:hAnsi="宋体" w:eastAsia="宋体" w:cs="宋体"/>
          <w:b/>
          <w:bCs w:val="0"/>
          <w:color w:val="auto"/>
          <w:sz w:val="24"/>
          <w:highlight w:val="none"/>
          <w:lang w:eastAsia="zh-CN"/>
        </w:rPr>
        <w:t xml:space="preserve">。</w:t>
      </w:r>
      <w:r/>
    </w:p>
    <w:p>
      <w:pPr>
        <w:numPr>
          <w:ilvl w:val="0"/>
          <w:numId w:val="0"/>
        </w:numPr>
        <w:jc w:val="left"/>
        <w:keepLines w:val="0"/>
        <w:keepNext w:val="0"/>
        <w:pageBreakBefore w:val="0"/>
        <w:spacing w:line="360" w:lineRule="auto"/>
        <w:widowControl w:val="off"/>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三、商务部分</w:t>
      </w:r>
      <w:r/>
    </w:p>
    <w:p>
      <w:pPr>
        <w:numPr>
          <w:ilvl w:val="0"/>
          <w:numId w:val="0"/>
        </w:numPr>
        <w:jc w:val="left"/>
        <w:keepLines w:val="0"/>
        <w:keepNext w:val="0"/>
        <w:pageBreakBefore w:val="0"/>
        <w:spacing w:line="360" w:lineRule="auto"/>
        <w:widowControl w:val="off"/>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（一）、招标范围及工程界面划分</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1、医气单位工作内容</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整个项目的医用气体系统(包含液氧罐、医用压缩空气机组、医用真空负压机组等)的设备采购及安装，包括但不限于医用气体系统的深化设计、制造、安装、调试、检验试验、移交使用、质保期的保养保修、技术培训等。本工程承包范围若存在不明确的部位或内容，则以施工图、工程量清单为准。本次医气招标范围含：</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（1）大楼医用供氧站：包括低温液体贮槽、空温式汽化器、液氧罐和汇流排切换装置、大流量调压装置、无缝铜管、氧气分气缸、控制阀等设备组件；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（2）大楼医用真空负压站：包括一体式医用真空负压机组、集污罐、吸引分气缸、细菌过滤器、排气灭菌装置、阀门等设备组件；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（3）感染楼真空负压一体机：包括一体式医用真空负压机组、集污罐、细菌过滤器、排气灭菌装置、无缝铜管、阀门等设备组件；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（4）大楼医用压缩空气站：包括一体式医用空气压缩机组、储气缓冲罐、分气缸、无缝铜管、阀门等设备组件；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（5）消毒供应中心医用压缩空气站</w:t>
      </w:r>
      <w:r>
        <w:rPr>
          <w:rFonts w:hint="eastAsia" w:ascii="宋体" w:hAnsi="宋体" w:eastAsia="宋体" w:cs="宋体"/>
          <w:bCs/>
          <w:color w:val="auto"/>
          <w:sz w:val="24"/>
          <w:highlight w:val="none"/>
        </w:rPr>
        <w:t xml:space="preserve">：包括</w:t>
      </w:r>
      <w:r>
        <w:rPr>
          <w:rFonts w:hint="eastAsia" w:ascii="宋体" w:hAnsi="宋体" w:eastAsia="宋体" w:cs="宋体"/>
          <w:bCs/>
          <w:color w:val="auto"/>
          <w:sz w:val="24"/>
          <w:highlight w:val="none"/>
          <w:lang w:val="en-US" w:eastAsia="zh-CN"/>
        </w:rPr>
        <w:t xml:space="preserve">无油涡旋空压机</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冷冻式干燥机</w:t>
      </w:r>
      <w:r>
        <w:rPr>
          <w:rFonts w:hint="eastAsia" w:ascii="宋体" w:hAnsi="宋体" w:eastAsia="宋体" w:cs="宋体"/>
          <w:bCs/>
          <w:color w:val="auto"/>
          <w:sz w:val="24"/>
          <w:highlight w:val="none"/>
        </w:rPr>
        <w:t xml:space="preserve">、过滤器、</w:t>
      </w:r>
      <w:r>
        <w:rPr>
          <w:rFonts w:hint="eastAsia" w:ascii="宋体" w:hAnsi="宋体" w:eastAsia="宋体" w:cs="宋体"/>
          <w:bCs/>
          <w:color w:val="auto"/>
          <w:sz w:val="24"/>
          <w:highlight w:val="none"/>
          <w:lang w:val="en-US" w:eastAsia="zh-CN"/>
        </w:rPr>
        <w:t xml:space="preserve">储气罐</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无缝铜管</w:t>
      </w:r>
      <w:r>
        <w:rPr>
          <w:rFonts w:hint="eastAsia" w:ascii="宋体" w:hAnsi="宋体" w:eastAsia="宋体" w:cs="宋体"/>
          <w:bCs/>
          <w:color w:val="auto"/>
          <w:sz w:val="24"/>
          <w:highlight w:val="none"/>
        </w:rPr>
        <w:t xml:space="preserve">、阀门等设备组件；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w:t>
      </w:r>
      <w:r>
        <w:rPr>
          <w:rFonts w:hint="default"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en-US" w:eastAsia="zh-CN"/>
        </w:rPr>
        <w:t xml:space="preserve">）特殊气体站房</w:t>
      </w:r>
      <w:r>
        <w:rPr>
          <w:rFonts w:hint="eastAsia" w:ascii="宋体" w:hAnsi="宋体" w:eastAsia="宋体" w:cs="宋体"/>
          <w:bCs/>
          <w:color w:val="auto"/>
          <w:sz w:val="24"/>
          <w:highlight w:val="none"/>
        </w:rPr>
        <w:t xml:space="preserve">：包括</w:t>
      </w:r>
      <w:r>
        <w:rPr>
          <w:rFonts w:hint="eastAsia" w:ascii="宋体" w:hAnsi="宋体" w:eastAsia="宋体" w:cs="宋体"/>
          <w:bCs/>
          <w:color w:val="auto"/>
          <w:sz w:val="24"/>
          <w:highlight w:val="none"/>
          <w:lang w:val="en-US" w:eastAsia="zh-CN"/>
        </w:rPr>
        <w:t xml:space="preserve">二氧化碳汇流排组</w:t>
      </w:r>
      <w:r>
        <w:rPr>
          <w:rFonts w:hint="eastAsia" w:ascii="宋体" w:hAnsi="宋体" w:eastAsia="宋体" w:cs="宋体"/>
          <w:bCs/>
          <w:color w:val="auto"/>
          <w:sz w:val="24"/>
          <w:highlight w:val="none"/>
        </w:rPr>
        <w:t xml:space="preserve">等设备组件</w:t>
      </w:r>
      <w:r>
        <w:rPr>
          <w:rFonts w:hint="eastAsia" w:ascii="宋体" w:hAnsi="宋体" w:eastAsia="宋体" w:cs="宋体"/>
          <w:bCs/>
          <w:color w:val="auto"/>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w:t>
      </w:r>
      <w:r>
        <w:rPr>
          <w:rFonts w:hint="default"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口腔科气体站房：</w:t>
      </w:r>
      <w:r>
        <w:rPr>
          <w:rFonts w:hint="eastAsia" w:ascii="宋体" w:hAnsi="宋体" w:eastAsia="宋体" w:cs="宋体"/>
          <w:bCs/>
          <w:color w:val="auto"/>
          <w:sz w:val="24"/>
          <w:highlight w:val="none"/>
        </w:rPr>
        <w:t xml:space="preserve">包括</w:t>
      </w:r>
      <w:r>
        <w:rPr>
          <w:rFonts w:hint="eastAsia" w:ascii="宋体" w:hAnsi="宋体" w:eastAsia="宋体" w:cs="宋体"/>
          <w:bCs/>
          <w:color w:val="auto"/>
          <w:sz w:val="24"/>
          <w:highlight w:val="none"/>
          <w:lang w:val="en-US" w:eastAsia="zh-CN"/>
        </w:rPr>
        <w:t xml:space="preserve">牙科电动无油空压机、牙科电动抽吸系统、冷冻式干燥机、过滤器、无缝铜管、</w:t>
      </w:r>
      <w:r>
        <w:rPr>
          <w:rFonts w:hint="eastAsia" w:ascii="宋体" w:hAnsi="宋体" w:eastAsia="宋体" w:cs="宋体"/>
          <w:bCs/>
          <w:color w:val="auto"/>
          <w:sz w:val="24"/>
          <w:highlight w:val="none"/>
        </w:rPr>
        <w:t xml:space="preserve">阀门等设备组件；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（8）中心供氧管路系统：</w:t>
      </w:r>
      <w:r>
        <w:rPr>
          <w:rFonts w:hint="eastAsia" w:ascii="宋体" w:hAnsi="宋体" w:eastAsia="宋体" w:cs="宋体"/>
          <w:bCs/>
          <w:color w:val="auto"/>
          <w:sz w:val="24"/>
          <w:highlight w:val="none"/>
        </w:rPr>
        <w:t xml:space="preserve">包括</w:t>
      </w:r>
      <w:r>
        <w:rPr>
          <w:rFonts w:hint="eastAsia" w:ascii="宋体" w:hAnsi="宋体" w:eastAsia="宋体" w:cs="宋体"/>
          <w:bCs/>
          <w:color w:val="auto"/>
          <w:sz w:val="24"/>
          <w:highlight w:val="none"/>
          <w:lang w:val="en-US" w:eastAsia="zh-CN"/>
        </w:rPr>
        <w:t xml:space="preserve">无缝铜管（含管件）</w:t>
      </w:r>
      <w:r>
        <w:rPr>
          <w:rFonts w:hint="eastAsia" w:ascii="宋体" w:hAnsi="宋体" w:eastAsia="宋体" w:cs="宋体"/>
          <w:bCs/>
          <w:color w:val="auto"/>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中心吸引管路系统：</w:t>
      </w:r>
      <w:r>
        <w:rPr>
          <w:rFonts w:hint="eastAsia" w:ascii="宋体" w:hAnsi="宋体" w:eastAsia="宋体" w:cs="宋体"/>
          <w:bCs/>
          <w:color w:val="auto"/>
          <w:sz w:val="24"/>
          <w:highlight w:val="none"/>
        </w:rPr>
        <w:t xml:space="preserve">包括</w:t>
      </w:r>
      <w:r>
        <w:rPr>
          <w:rFonts w:hint="eastAsia" w:ascii="宋体" w:hAnsi="宋体" w:eastAsia="宋体" w:cs="宋体"/>
          <w:bCs/>
          <w:color w:val="auto"/>
          <w:sz w:val="24"/>
          <w:highlight w:val="none"/>
          <w:lang w:val="en-US" w:eastAsia="zh-CN"/>
        </w:rPr>
        <w:t xml:space="preserve">无缝铜管（含管件）</w:t>
      </w:r>
      <w:r>
        <w:rPr>
          <w:rFonts w:hint="eastAsia" w:ascii="宋体" w:hAnsi="宋体" w:eastAsia="宋体" w:cs="宋体"/>
          <w:bCs/>
          <w:color w:val="auto"/>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压缩空气管路系统：</w:t>
      </w:r>
      <w:r>
        <w:rPr>
          <w:rFonts w:hint="eastAsia" w:ascii="宋体" w:hAnsi="宋体" w:eastAsia="宋体" w:cs="宋体"/>
          <w:bCs/>
          <w:color w:val="auto"/>
          <w:sz w:val="24"/>
          <w:highlight w:val="none"/>
        </w:rPr>
        <w:t xml:space="preserve">包括</w:t>
      </w:r>
      <w:r>
        <w:rPr>
          <w:rFonts w:hint="eastAsia" w:ascii="宋体" w:hAnsi="宋体" w:eastAsia="宋体" w:cs="宋体"/>
          <w:bCs/>
          <w:color w:val="auto"/>
          <w:sz w:val="24"/>
          <w:highlight w:val="none"/>
          <w:lang w:val="en-US" w:eastAsia="zh-CN"/>
        </w:rPr>
        <w:t xml:space="preserve">无缝铜管（含管件）</w:t>
      </w:r>
      <w:r>
        <w:rPr>
          <w:rFonts w:hint="eastAsia" w:ascii="宋体" w:hAnsi="宋体" w:eastAsia="宋体" w:cs="宋体"/>
          <w:bCs/>
          <w:color w:val="auto"/>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二氧化碳管路系统：</w:t>
      </w:r>
      <w:r>
        <w:rPr>
          <w:rFonts w:hint="eastAsia" w:ascii="宋体" w:hAnsi="宋体" w:eastAsia="宋体" w:cs="宋体"/>
          <w:bCs/>
          <w:color w:val="auto"/>
          <w:sz w:val="24"/>
          <w:highlight w:val="none"/>
        </w:rPr>
        <w:t xml:space="preserve">包括</w:t>
      </w:r>
      <w:r>
        <w:rPr>
          <w:rFonts w:hint="eastAsia" w:ascii="宋体" w:hAnsi="宋体" w:eastAsia="宋体" w:cs="宋体"/>
          <w:bCs/>
          <w:color w:val="auto"/>
          <w:sz w:val="24"/>
          <w:highlight w:val="none"/>
          <w:lang w:val="en-US" w:eastAsia="zh-CN"/>
        </w:rPr>
        <w:t xml:space="preserve">无缝铜管（含管件）</w:t>
      </w:r>
      <w:r>
        <w:rPr>
          <w:rFonts w:hint="eastAsia" w:ascii="宋体" w:hAnsi="宋体" w:eastAsia="宋体" w:cs="宋体"/>
          <w:bCs/>
          <w:color w:val="auto"/>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麻醉废气排放管路系统：</w:t>
      </w:r>
      <w:r>
        <w:rPr>
          <w:rFonts w:hint="eastAsia" w:ascii="宋体" w:hAnsi="宋体" w:eastAsia="宋体" w:cs="宋体"/>
          <w:bCs/>
          <w:color w:val="auto"/>
          <w:sz w:val="24"/>
          <w:highlight w:val="none"/>
        </w:rPr>
        <w:t xml:space="preserve">包括</w:t>
      </w:r>
      <w:r>
        <w:rPr>
          <w:rFonts w:hint="eastAsia" w:ascii="宋体" w:hAnsi="宋体" w:eastAsia="宋体" w:cs="宋体"/>
          <w:bCs/>
          <w:color w:val="auto"/>
          <w:sz w:val="24"/>
          <w:highlight w:val="none"/>
          <w:lang w:val="en-US" w:eastAsia="zh-CN"/>
        </w:rPr>
        <w:t xml:space="preserve">UPVC管（含管件）</w:t>
      </w:r>
      <w:r>
        <w:rPr>
          <w:rFonts w:hint="eastAsia" w:ascii="宋体" w:hAnsi="宋体" w:eastAsia="宋体" w:cs="宋体"/>
          <w:bCs/>
          <w:color w:val="auto"/>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终端、设备带系统：</w:t>
      </w:r>
      <w:r>
        <w:rPr>
          <w:rFonts w:hint="eastAsia" w:ascii="宋体" w:hAnsi="宋体" w:eastAsia="宋体" w:cs="宋体"/>
          <w:bCs/>
          <w:color w:val="auto"/>
          <w:sz w:val="24"/>
          <w:highlight w:val="none"/>
        </w:rPr>
        <w:t xml:space="preserve">包括</w:t>
      </w:r>
      <w:r>
        <w:rPr>
          <w:rFonts w:hint="eastAsia" w:ascii="宋体" w:hAnsi="宋体" w:eastAsia="宋体" w:cs="宋体"/>
          <w:bCs/>
          <w:color w:val="auto"/>
          <w:sz w:val="24"/>
          <w:highlight w:val="none"/>
          <w:lang w:val="en-US" w:eastAsia="zh-CN"/>
        </w:rPr>
        <w:t xml:space="preserve">压力报警装置、二级减压箱、阀门箱、</w:t>
      </w:r>
      <w:r>
        <w:rPr>
          <w:rFonts w:hint="eastAsia" w:ascii="宋体" w:hAnsi="宋体" w:eastAsia="宋体" w:cs="宋体"/>
          <w:bCs/>
          <w:color w:val="auto"/>
          <w:sz w:val="24"/>
          <w:highlight w:val="none"/>
        </w:rPr>
        <w:t xml:space="preserve">阀门等设备组件；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医气单位与各专业的界面划分</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2.1医气单位与施工总承包单位界面划分</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医气单位负责向施工总承包单位提供设备基础大样、机房及室外管沟布置图、病房内吊顶管道到区域报警器。施工总承包单位负责室外液氧站设备基础、围栏(含围栏门)及室外医用气体管沟施工；负责气体机房的设备基座基础浇筑、各气体机房内的电源箱、房间的建筑装饰(含机房地面找平、隔音降噪)、开关、插座、灯具、空调、通风系统、给排水系统、周边接地预留、机房管道预留开孔等施工，负责医气相关的流量计、报警器的电源插座预留、检修孔预留，病房内吊顶管道到区域报警器，病房内的设备带电线预留到位(包括等电位接地线)等。</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2)医气单位负责根据系统需要在楼板及墙体所需洞口的开设，并负责承包范围内预留孔洞(管)的封堵；施工总承包单位负责本项目范围内主体施工期间的各系统砼结构内的线管、底盒、套管、孔洞的预留预埋。</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2.2医气单位与精装修专业工程承包单位界面划分</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精装修专业工程承包单位负责其承包范围内阀门箱和报警箱等设备的布局优化和安装完成后的收边收口；负责配合医用气体专业承包单位在天花、板材墙面等预留符合要求的洞口尺寸。医气单位负责向精装修专业工程承包单位提供阀门箱和报警箱安装空间及位置尺寸等并对其准确性负责。</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2.3医气单位与医疗净化专业承包单位界面划分</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1)医气单位负责向医疗净化专业承包单位提供医用气体系统相关管道(医用氧气、医用吸引和医用压缩空气),在净化区域气体管道井出口预留阀门。</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2)医疗净化专业承包单位在二氧化碳汇流排间提供内镜中心用二氧化碳系统管道接口，由医气单位负责内镜中心二氧化碳后续管道的接驳和安装。</w:t>
      </w:r>
      <w:r/>
    </w:p>
    <w:p>
      <w:pPr>
        <w:numPr>
          <w:ilvl w:val="0"/>
          <w:numId w:val="0"/>
        </w:numPr>
        <w:jc w:val="left"/>
        <w:keepLines w:val="0"/>
        <w:keepNext w:val="0"/>
        <w:pageBreakBefore w:val="0"/>
        <w:spacing w:line="360" w:lineRule="auto"/>
        <w:widowControl w:val="off"/>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（二）、技术规范</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《医用气体工程技术规范》GB50751-2012</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《综合医院建筑设计规范》GB51039-2014</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《医用洁净手术部建筑技术规范》GB50333-2013</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《建筑设计防火规范》GB50016-2014(2018版)</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《气瓶安全监察规程》TSGR 006-2014</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《氧气站设计规范》GB50030-2013</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《压缩空气站设计规范》CB50029-2014</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《工业金属管道设计规范》GB50316-2000(2008版)</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《压力容器》GB150-2011</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《固定式压力容器安全技术监察规程》TSG21-2016</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《压力管道安全技术监察规程--工业管道》TSGD 001-2009</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国家及地方颁布的其它相关法律法规</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如有最新版本的技术规范，以最新的技术规范为准</w:t>
      </w:r>
      <w:r>
        <w:rPr>
          <w:rFonts w:hint="eastAsia" w:ascii="宋体" w:hAnsi="宋体" w:eastAsia="宋体" w:cs="宋体"/>
          <w:bCs/>
          <w:color w:val="auto"/>
          <w:sz w:val="24"/>
          <w:highlight w:val="none"/>
          <w:lang w:eastAsia="zh-CN"/>
        </w:rPr>
        <w:t xml:space="preserve">。</w:t>
      </w:r>
      <w:r/>
    </w:p>
    <w:p>
      <w:pPr>
        <w:numPr>
          <w:ilvl w:val="0"/>
          <w:numId w:val="0"/>
        </w:numPr>
        <w:jc w:val="left"/>
        <w:keepLines w:val="0"/>
        <w:keepNext w:val="0"/>
        <w:pageBreakBefore w:val="0"/>
        <w:spacing w:line="360" w:lineRule="auto"/>
        <w:widowControl w:val="off"/>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（三）、质量标准</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1.供应商须明确所投货物的生产厂家、品牌、型号、规格、外形和尺寸等。</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保证货物是全新、未使用过的原装合格正品，并完全符合采购文件及国家相关规定的质量、规格和性能的要求。验收过程中发现产品不符合上述要求的，将视作不合格产品，采购人有权终止合同，造成的一切损失由成交供应商承担。验收情况作为支付货款的依据。如有质疑，以相关质量技术检验检测机构的检验结果为准，如产生检验费用，则该费用由过失方承担。</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3.产品的包装，国家或行业主管部门有规定的，按规定执行。</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4.供应商应保证提供的产品不得侵犯第三方专利权、商标权和工业设计权、版权等。否则，供应商应负全部责任，并承担由此引起的一切后果。</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5.供应商应保证其货物在正确安装、正常使用和保养条件下，在其使用寿命期内应具有满意的性能。</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6.供应商应采取必要的安全措施保证货物的运输及安装的安全，并承担货物的运输及安装过程中产生的风险。</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7.供应商必须保证所提供的产品符合国家相应质量要求，供货时必须随产品提供出厂材料，包括但不限于检验报告（复印件）、产品合格证（原件）以及设备的测试、运行、保养手册。</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8.供应商所供货物最终验收后，成交供应商应对由于设计、工艺或材料的缺陷而发生的任何不足或故障负责，并承担由此引起的一切后果。</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numPr>
          <w:ilvl w:val="0"/>
          <w:numId w:val="0"/>
        </w:numPr>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szCs w:val="22"/>
          <w:highlight w:val="none"/>
          <w:lang w:val="en-US" w:eastAsia="zh-CN" w:bidi="ar-SA"/>
        </w:rPr>
        <w:t xml:space="preserve">（四）、</w:t>
      </w:r>
      <w:r>
        <w:rPr>
          <w:rFonts w:hint="eastAsia" w:ascii="宋体" w:hAnsi="宋体" w:eastAsia="宋体" w:cs="宋体"/>
          <w:b/>
          <w:color w:val="auto"/>
          <w:sz w:val="24"/>
          <w:szCs w:val="24"/>
          <w:highlight w:val="none"/>
        </w:rPr>
        <w:t xml:space="preserve">商务条款</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.合同履约期限：采购合同签订后270个日历天全部供货及安装完毕，并配合完成全部验收工作。</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.交付地点：</w:t>
      </w:r>
      <w:r>
        <w:rPr>
          <w:rFonts w:hint="eastAsia" w:ascii="宋体" w:hAnsi="宋体" w:eastAsia="宋体" w:cs="宋体"/>
          <w:bCs/>
          <w:color w:val="auto"/>
          <w:sz w:val="24"/>
          <w:szCs w:val="24"/>
          <w:lang w:eastAsia="zh-CN"/>
        </w:rPr>
        <w:t xml:space="preserve">无锡市锡山人民医院东亭分院</w:t>
      </w:r>
      <w:r>
        <w:rPr>
          <w:rFonts w:hint="eastAsia" w:ascii="宋体" w:hAnsi="宋体" w:eastAsia="宋体" w:cs="宋体"/>
          <w:color w:val="auto"/>
          <w:sz w:val="24"/>
          <w:szCs w:val="24"/>
          <w:highlight w:val="none"/>
        </w:rPr>
        <w:t xml:space="preserve">，产品须为全新、未使用过的原装合格正品。安装质量符合各项现行技术规范和强制性标准。货物由供应商负责办理运输、装卸、安装、调试等，所有费用由供应商负责。采购方组织验收，检验不合格或不符合质量要求，供应商除无条件退货、返工外，还应承担采购方由此造成的一切损失。</w:t>
      </w:r>
      <w:r/>
    </w:p>
    <w:p>
      <w:pPr>
        <w:ind w:firstLine="480"/>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eastAsia="zh-CN"/>
        </w:rPr>
        <w:t xml:space="preserve">预付款支付比例或金额：合同金额的10%。</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预付款支付期限：供方签订了合同协议书并提交了预付款保函或保证金后，需方支付预付款。</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-2-1模式：项目进度款支付比例原则为实际完成工作量的60%(进度款累计金额达到合同总价的55%时暂停支付），项目完工后，最多支付至单项合同价的60%；审计结束支付至审定价的70%；审计结束满一年支付至审定价的90%；审计结束满两年，</w:t>
      </w:r>
      <w:r>
        <w:rPr>
          <w:rFonts w:hint="eastAsia" w:ascii="宋体" w:hAnsi="宋体" w:eastAsia="宋体" w:cs="宋体"/>
          <w:color w:val="auto"/>
          <w:sz w:val="24"/>
          <w:szCs w:val="24"/>
          <w:highlight w:val="none"/>
          <w:lang w:val="en-US" w:eastAsia="zh-CN"/>
        </w:rPr>
        <w:t xml:space="preserve">支付至审定价的97%，货物保修期满经项目使用单位确认保修质量和保修效果后，结清全部货物余款。</w:t>
      </w:r>
      <w:r/>
    </w:p>
    <w:p>
      <w:pPr>
        <w:spacing w:line="360" w:lineRule="auto"/>
        <w:rPr>
          <w:rFonts w:hint="eastAsia" w:asciiTheme="minorEastAsia" w:hAnsiTheme="minorEastAsia" w:eastAsiaTheme="minorEastAsia"/>
          <w:b/>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（五）、</w:t>
      </w:r>
      <w:r>
        <w:rPr>
          <w:rFonts w:hint="eastAsia" w:asciiTheme="minorEastAsia" w:hAnsiTheme="minorEastAsia" w:eastAsiaTheme="minorEastAsia"/>
          <w:b/>
          <w:color w:val="auto"/>
          <w:sz w:val="24"/>
          <w:szCs w:val="24"/>
          <w:highlight w:val="none"/>
        </w:rPr>
        <w:t xml:space="preserve">本项目验收标准：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以采购单位现场验收为准。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1．验收标准：</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成交人承担。</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2.设备安装调试结束，</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负责配合采购人办理压力容器使用证、压力容器管理证等相关证件，使其具备合法合规使用条件，且试用一个月无异常后，采购人组织相关专业技术人员，必要时邀请政府采购办等相关部门共同参与验收，并出具验收报告，作为支付货款的依据。</w:t>
      </w:r>
      <w:r/>
    </w:p>
    <w:p>
      <w:pPr>
        <w:ind w:firstLine="480"/>
        <w:spacing w:before="0" w:after="0" w:line="360" w:lineRule="auto"/>
        <w:rPr>
          <w:rFonts w:hint="eastAsia" w:asciiTheme="minorEastAsia" w:hAnsiTheme="minorEastAsia" w:eastAsiaTheme="minorEastAsia"/>
          <w:b/>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rPr>
        <w:t xml:space="preserve">3.设备安装后，由需方组织使用方、</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按据国家有关规定、招标文件、中标方的投标文件以及合同约定的内容和验收标准进行验收。必要时，可邀请具有相应资质的第三方检测机构参与验收。如有设备需经相关主管部门验收的，则需要通过主管部门验收合格。验收合格后，供方将设备及相关资料正式移交给招标人(需方)和使用方，各方签署《设备验收移交确认书》。</w:t>
      </w:r>
      <w:r/>
    </w:p>
    <w:p>
      <w:pPr>
        <w:pStyle w:val="1099"/>
        <w:spacing w:before="0" w:after="0" w:line="360" w:lineRule="auto"/>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lang w:val="en-US" w:eastAsia="zh-CN"/>
        </w:rPr>
        <w:t xml:space="preserve">（六）</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售后服务要求</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1.保修期：质保期叁年，自交付使用之日起计算。</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2.提供免费保修期后</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color w:val="auto"/>
          <w:sz w:val="24"/>
          <w:szCs w:val="24"/>
          <w:highlight w:val="none"/>
        </w:rPr>
        <w:t xml:space="preserve">整机保修方案和费用</w:t>
      </w:r>
      <w:r>
        <w:rPr>
          <w:rFonts w:hint="eastAsia" w:asciiTheme="minorEastAsia" w:hAnsiTheme="minorEastAsia" w:eastAsiaTheme="minorEastAsia" w:cstheme="minorEastAsia"/>
          <w:color w:val="auto"/>
          <w:sz w:val="24"/>
          <w:szCs w:val="24"/>
          <w:highlight w:val="none"/>
          <w:lang w:val="en-US" w:eastAsia="zh-CN"/>
        </w:rPr>
        <w:t xml:space="preserve">组成</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维修响应时间：2小时内响应，24小时内到场维修（包括节假日），提供24小时维修电话和厂家维修点地址，提供消耗品和质保期后常用零配件的供应价格与折扣，按实际售价7折或更优折扣提供，不收任何维修费、人工费、差旅费等服务性费用。</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4.保修期外维修付款须做到先维修后付款。</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5.为保证设备正常运行，响应供应商或所投产品制造商应在中国境内设置备件库，并保证零配件8年以上的供应期。</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6.质保期内免费提供一年2次的全面保养，并提供相应的维护报告，质保期后，每年应免费提供该原厂设备巡检≥2次，并提供相应设备巡检报告。</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7.设备软件免费终身提供升级，采购人享有软件的终身使用权。</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8.免费提供培训：现场操作培训并提供设备工程师维修培训（人员不少于2名），提供详细的培训计划。</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免费提供工程师的维修培训，要求院方工程师必需掌握：设备软件的安装、设备的原理、结构、设备的拆装、设备的保养（PM）步骤、性能检测；设备有维修密码的必须提供维修密码，需提供培训资料及考核资料。</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10.装机现场提供操作手册、维修手册、安装手册，并提供操作规程电子版和纸质版。</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11.专用工具：成交人应提供一套维修所需的专用工具及其清单。</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12.备品备件：所有压力表及安全阀均须提供一用一备。</w:t>
      </w:r>
      <w:r/>
    </w:p>
    <w:p>
      <w:pPr>
        <w:pStyle w:val="1114"/>
        <w:keepLines w:val="0"/>
        <w:keepNext w:val="0"/>
        <w:pageBreakBefore w:val="0"/>
        <w:spacing w:line="360" w:lineRule="auto"/>
        <w:widowControl w:val="off"/>
        <w:rPr>
          <w:rFonts w:hint="eastAsia"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lang w:val="en-US" w:eastAsia="zh-CN"/>
        </w:rPr>
        <w:t xml:space="preserve">（七）</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其他要求：</w:t>
      </w:r>
      <w:r/>
    </w:p>
    <w:p>
      <w:pPr>
        <w:ind w:firstLine="480"/>
        <w:keepLines w:val="0"/>
        <w:keepNext w:val="0"/>
        <w:pageBreakBefore w:val="0"/>
        <w:spacing w:line="360" w:lineRule="auto"/>
        <w:widowControl w:val="off"/>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bookmarkStart w:id="31" w:name="OLE_LINK5"/>
      <w:r>
        <w:rPr>
          <w:rFonts w:hint="eastAsia" w:asciiTheme="minorEastAsia" w:hAnsiTheme="minorEastAsia" w:eastAsiaTheme="minorEastAsia" w:cstheme="minorEastAsia"/>
          <w:b/>
          <w:bCs/>
          <w:color w:val="auto"/>
          <w:sz w:val="24"/>
          <w:szCs w:val="24"/>
          <w:highlight w:val="none"/>
        </w:rPr>
        <w:t xml:space="preserve">投标人所投产品的中文品名、型号、规格及产品说明书所注适用范围必须与医疗器械产品注册证所标明的完全一致。</w:t>
      </w:r>
      <w:bookmarkEnd w:id="31"/>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bookmarkStart w:id="32" w:name="OLE_LINK6"/>
      <w:r>
        <w:rPr>
          <w:rFonts w:hint="eastAsia" w:asciiTheme="minorEastAsia" w:hAnsiTheme="minorEastAsia" w:eastAsiaTheme="minorEastAsia" w:cstheme="minorEastAsia"/>
          <w:color w:val="auto"/>
          <w:sz w:val="24"/>
          <w:szCs w:val="24"/>
          <w:highlight w:val="none"/>
        </w:rPr>
        <w:t xml:space="preserve">本项目为固定单价合同，本设备清单单价为全费用综合单价，各投标人综合考虑包括设备及附件的采购、运输、安装、保险、检测、调试、试运行、验收、技术支持；对招标人专业操作人员的培训指导；约定维保期内的定期检测维护；约定维保期内备品备件的储备及更换在内所有工作内容的相关费用。该全费用单价包含人工费、材料费、机械费、管理费、利润、措施费、规费及税金在内的所有可能发生的费用。</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总承包服务费由供方自行充分考虑包含在投标报价中，结算时甲方不另支付。</w:t>
      </w:r>
      <w:r>
        <w:rPr>
          <w:rFonts w:hint="eastAsia" w:ascii="宋体" w:hAnsi="宋体" w:eastAsia="宋体" w:cs="宋体"/>
          <w:bCs/>
          <w:color w:val="auto"/>
          <w:sz w:val="24"/>
          <w:szCs w:val="24"/>
          <w:lang w:eastAsia="zh-CN"/>
        </w:rPr>
        <w:t xml:space="preserve">无锡市锡山人民医院东亭分院改扩建项目</w:t>
      </w:r>
      <w:r>
        <w:rPr>
          <w:rFonts w:hint="eastAsia" w:asciiTheme="minorEastAsia" w:hAnsiTheme="minorEastAsia" w:eastAsiaTheme="minorEastAsia" w:cstheme="minorEastAsia"/>
          <w:color w:val="auto"/>
          <w:sz w:val="24"/>
          <w:szCs w:val="24"/>
          <w:highlight w:val="none"/>
        </w:rPr>
        <w:t xml:space="preserve">需获得“国家优质工程奖”，</w:t>
      </w:r>
      <w:r>
        <w:rPr>
          <w:rFonts w:hint="eastAsia" w:asciiTheme="minorEastAsia" w:hAnsiTheme="minorEastAsia" w:eastAsiaTheme="minorEastAsia" w:cstheme="minorEastAsia"/>
          <w:color w:val="auto"/>
          <w:sz w:val="24"/>
          <w:szCs w:val="24"/>
          <w:highlight w:val="none"/>
          <w:lang w:val="en-US" w:eastAsia="zh-CN"/>
        </w:rPr>
        <w:t xml:space="preserve">中标</w:t>
      </w:r>
      <w:r>
        <w:rPr>
          <w:rFonts w:hint="eastAsia" w:asciiTheme="minorEastAsia" w:hAnsiTheme="minorEastAsia" w:eastAsiaTheme="minorEastAsia" w:cstheme="minorEastAsia"/>
          <w:color w:val="auto"/>
          <w:sz w:val="24"/>
          <w:szCs w:val="24"/>
          <w:highlight w:val="none"/>
        </w:rPr>
        <w:t xml:space="preserve">单位作为本项目的参建单位，应当提高供货及安装标准，配合总包单位评选国家优质工程奖</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材料和设备的选用应满足设计</w:t>
      </w:r>
      <w:r>
        <w:rPr>
          <w:rFonts w:hint="eastAsia" w:asciiTheme="minorEastAsia" w:hAnsiTheme="minorEastAsia" w:eastAsiaTheme="minorEastAsia" w:cstheme="minorEastAsia"/>
          <w:color w:val="auto"/>
          <w:sz w:val="24"/>
          <w:szCs w:val="24"/>
          <w:highlight w:val="none"/>
          <w:lang w:val="en-US" w:eastAsia="zh-CN"/>
        </w:rPr>
        <w:t xml:space="preserve">和采购文件</w:t>
      </w:r>
      <w:r>
        <w:rPr>
          <w:rFonts w:hint="eastAsia" w:asciiTheme="minorEastAsia" w:hAnsiTheme="minorEastAsia" w:eastAsiaTheme="minorEastAsia" w:cstheme="minorEastAsia"/>
          <w:color w:val="auto"/>
          <w:sz w:val="24"/>
          <w:szCs w:val="24"/>
          <w:highlight w:val="none"/>
        </w:rPr>
        <w:t xml:space="preserve">要求的各项技术参数，具体选用时需经监理、需方及使用（接管）单位认可后方可采购，供方报价时应当充分考虑实际采购价格与投标报价间存在差异的风险，并将该风险费用考虑在投标报价中，结算时不再调整。</w:t>
      </w:r>
      <w:r/>
    </w:p>
    <w:p>
      <w:pPr>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供方须具备完成本项目设备安装工作所需的全部合法有效资质，包括</w:t>
      </w:r>
      <w:r>
        <w:rPr>
          <w:rFonts w:hint="eastAsia" w:asciiTheme="minorEastAsia" w:hAnsiTheme="minorEastAsia" w:eastAsiaTheme="minorEastAsia" w:cstheme="minorEastAsia"/>
          <w:color w:val="auto"/>
          <w:sz w:val="24"/>
          <w:szCs w:val="24"/>
          <w:highlight w:val="none"/>
          <w:lang w:val="en-US" w:eastAsia="zh-CN"/>
        </w:rPr>
        <w:t xml:space="preserve">但不限于</w:t>
      </w:r>
      <w:r>
        <w:rPr>
          <w:rFonts w:hint="eastAsia" w:asciiTheme="minorEastAsia" w:hAnsiTheme="minorEastAsia" w:eastAsiaTheme="minorEastAsia" w:cstheme="minorEastAsia"/>
          <w:color w:val="auto"/>
          <w:sz w:val="24"/>
          <w:szCs w:val="24"/>
          <w:highlight w:val="none"/>
          <w:lang w:eastAsia="zh-CN"/>
        </w:rPr>
        <w:t xml:space="preserve">与设备类型、安装规模及技术难度相匹配且在有效期内的专业安装资质，配备持有国家或行业主管部门认可的相应岗位资格证书且与作业内容相符的安装作业人员，具备健全的安全生产管理制度及符合规定的安全生产资质（如安全生产许可证等），并严格遵守国家、行业及项目所在地关于设备安装的其他资质管理规定；供方应在安装工作启动前向招标人提交相关资质证明文件供核查，未按要求提供或资质不符合规定的，招标人有权暂缓安装工作或解除合同，由此产生的一切损失由供方承担。</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供方应妥善处理好与其他供方的关系，发生交叉施工时，应相互配合，友好协作，并无条件服从需方的统一协调。供方应积极配合并承担相应费用，不得对因此而可能发生的人工、机械闲置损失向需方提出索赔。</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.投标人必须在满足招标文件要求的基础上进行报价，不可以出现技术负偏离。技术正偏离在偏离表中说明。</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.应提供的伴随服务</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1制定供货安装方案：响应供应商应根据采购文件要求及本项目特点，制定供货安装方案，包括产品的安装部署、调试方案等。方案应做到完整全面、科学可行，并有针对性，配备具有经验的技术服务人员，服从采购人管理要求，确保在规定的交付时限内完成；</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2制定售后服务方案：响应供应商应制订有关售后服务的管理制度，提供自身及所投产品制造商的售后服务机构的分布情况、售后服务人员的数量、素质、技术水平及售后服务的响应标准、服务体系、故障解决方案等服务方案；服务方案应科学合理、具备针对性，并指定专门的售后服务人员；</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3制定培训方案：负责对采购人、最终用户的操作、维修人员进行业务培训，包含培训时间、培训内容、培训计划，并应达到能熟练操作并能排除常见故障的标准。确保相关人员能熟练掌握设备或系统的日常使用及维护；</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.其他要求</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.1特殊设备如需计量、商检、压力容器登记注册、3C认证的设备，在安装时需提供相应的报告。</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.2提供安装条件：如水、电等要求，提供设备外观尺寸图纸和安装参数，详细说明</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.3安装尺寸：提供设备外观尺寸图纸和安装参数。</w:t>
      </w:r>
      <w:r/>
    </w:p>
    <w:p>
      <w:pPr>
        <w:ind w:firstLine="480"/>
        <w:spacing w:line="341" w:lineRule="auto"/>
        <w:tabs>
          <w:tab w:val="left" w:pos="945" w:leader="none"/>
          <w:tab w:val="left" w:pos="112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.4装机现场提供操作规程，含电源及环境要求、使用前准备、操作程序、注意事项、维护保养（PM）要求、安全警告，否则不予验收。</w:t>
      </w:r>
      <w:bookmarkEnd w:id="32"/>
      <w:r/>
      <w:r/>
    </w:p>
    <w:p>
      <w:pPr>
        <w:ind w:firstLine="480"/>
        <w:spacing w:line="341" w:lineRule="auto"/>
        <w:tabs>
          <w:tab w:val="left" w:pos="945" w:leader="none"/>
          <w:tab w:val="left" w:pos="1125"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5.5系统开放所有端口，供数据采集。</w:t>
      </w:r>
      <w:r/>
    </w:p>
    <w:p>
      <w:pPr>
        <w:ind w:firstLine="480"/>
        <w:spacing w:line="341" w:lineRule="auto"/>
        <w:tabs>
          <w:tab w:val="left" w:pos="945" w:leader="none"/>
          <w:tab w:val="left" w:pos="1125"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5.6</w:t>
      </w:r>
      <w:r>
        <w:rPr>
          <w:rFonts w:hint="default" w:asciiTheme="minorEastAsia" w:hAnsiTheme="minorEastAsia" w:eastAsiaTheme="minorEastAsia" w:cstheme="minorEastAsia"/>
          <w:color w:val="auto"/>
          <w:sz w:val="24"/>
          <w:szCs w:val="24"/>
          <w:highlight w:val="none"/>
          <w:lang w:val="en-US" w:eastAsia="zh-CN"/>
        </w:rPr>
        <w:t xml:space="preserve">本采购清单中设备部分所列举的技术参数为基本参数要求，满足或优于清单中参数均可，各投标人应综合考虑该部分报价，结算时不得以设备更新换代或拟用设备不满足清单要求为由进行调整。</w:t>
      </w:r>
      <w:r/>
    </w:p>
    <w:p>
      <w:pPr>
        <w:ind w:firstLine="480"/>
        <w:spacing w:line="341" w:lineRule="auto"/>
        <w:tabs>
          <w:tab w:val="left" w:pos="945" w:leader="none"/>
          <w:tab w:val="left" w:pos="1125"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注：</w:t>
      </w:r>
      <w:r/>
    </w:p>
    <w:p>
      <w:pPr>
        <w:ind w:firstLine="482"/>
        <w:keepLines w:val="0"/>
        <w:keepNext w:val="0"/>
        <w:pageBreakBefore w:val="0"/>
        <w:spacing w:before="240" w:line="360" w:lineRule="auto"/>
        <w:widowControl w:val="off"/>
        <w:rPr>
          <w:rFonts w:hint="eastAsia" w:ascii="宋体" w:hAnsi="宋体" w:eastAsia="宋体"/>
          <w:b/>
          <w:color w:val="auto"/>
          <w:sz w:val="24"/>
          <w:szCs w:val="24"/>
        </w:rPr>
      </w:pPr>
      <w:r>
        <w:rPr>
          <w:rFonts w:hint="eastAsia" w:ascii="宋体" w:hAnsi="宋体" w:eastAsia="宋体"/>
          <w:b/>
          <w:color w:val="auto"/>
          <w:sz w:val="24"/>
          <w:szCs w:val="24"/>
        </w:rPr>
        <w:t xml:space="preserve">1、需求中涉及量化指标区间范围的，首个数字为该项最低标准，须完全满足，未满足的视为负偏离。</w:t>
      </w:r>
      <w:r/>
    </w:p>
    <w:p>
      <w:pPr>
        <w:pStyle w:val="1114"/>
        <w:ind w:firstLine="482"/>
        <w:keepLines w:val="0"/>
        <w:keepNext w:val="0"/>
        <w:pageBreakBefore w:val="0"/>
        <w:spacing w:line="360" w:lineRule="auto"/>
        <w:widowControl w:val="off"/>
        <w:rPr>
          <w:rFonts w:hint="eastAsia"/>
          <w:b/>
          <w:bCs/>
          <w:color w:val="auto"/>
          <w:lang w:eastAsia="zh-CN"/>
        </w:rPr>
      </w:pPr>
      <w:r>
        <w:rPr>
          <w:rFonts w:hint="eastAsia"/>
          <w:b/>
          <w:bCs/>
          <w:color w:val="auto"/>
          <w:lang w:eastAsia="zh-CN"/>
        </w:rPr>
        <w:t xml:space="preserve">2、供方应严格按照采购文件的有关规定和供方投标文件提供合格的货物及服务。所有设备均可原厂溯源，如无法溯源需方有权要求更换，由此产生的费用由供方承担，如因更换或重作导致供方逾期交付货物的，供方还应承担逾期交付的违约责任。</w:t>
      </w:r>
      <w:r/>
    </w:p>
    <w:p>
      <w:pPr>
        <w:ind w:firstLine="482"/>
        <w:spacing w:line="360" w:lineRule="auto"/>
        <w:rPr>
          <w:rFonts w:hint="eastAsia" w:ascii="宋体" w:hAnsi="宋体" w:eastAsia="宋体"/>
          <w:color w:val="auto"/>
          <w:sz w:val="24"/>
          <w:szCs w:val="24"/>
        </w:rPr>
      </w:pPr>
      <w:r>
        <w:rPr>
          <w:rFonts w:hint="eastAsia" w:ascii="宋体" w:hAnsi="宋体" w:eastAsia="宋体"/>
          <w:b/>
          <w:color w:val="auto"/>
          <w:sz w:val="24"/>
          <w:szCs w:val="24"/>
        </w:rPr>
        <w:t xml:space="preserve">3、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114"/>
        <w:ind w:firstLine="482"/>
        <w:spacing w:line="360" w:lineRule="auto"/>
        <w:rPr>
          <w:rFonts w:hint="eastAsia" w:ascii="宋体" w:hAnsi="宋体" w:eastAsia="宋体" w:cs="宋体"/>
          <w:color w:val="auto"/>
          <w:highlight w:val="none"/>
        </w:rPr>
      </w:pPr>
      <w:r>
        <w:rPr>
          <w:rFonts w:hint="eastAsia"/>
          <w:b/>
          <w:bCs/>
          <w:color w:val="auto"/>
          <w:lang w:eastAsia="zh-CN"/>
        </w:rPr>
        <w:t xml:space="preserve">3.</w:t>
      </w:r>
      <w:r>
        <w:rPr>
          <w:rFonts w:hint="eastAsia"/>
          <w:b/>
          <w:bCs/>
          <w:color w:val="auto"/>
          <w:lang w:val="zh-CN" w:eastAsia="zh-CN"/>
        </w:rPr>
        <w:t xml:space="preserve">本项目收取履约保证金，</w:t>
      </w:r>
      <w:r>
        <w:rPr>
          <w:rFonts w:hint="eastAsia"/>
          <w:b/>
          <w:bCs/>
          <w:color w:val="auto"/>
          <w:lang w:eastAsia="zh-CN"/>
        </w:rPr>
        <w:t xml:space="preserve">详见合同条款</w:t>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附：政府采购政策（包括但不限于下列具体政策要求）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b/>
          <w:bCs/>
          <w:color w:val="auto"/>
          <w:sz w:val="24"/>
          <w:szCs w:val="24"/>
          <w:lang w:val="en"/>
        </w:rPr>
      </w:pPr>
      <w:r>
        <w:rPr>
          <w:rFonts w:hint="eastAsia" w:ascii="宋体" w:hAnsi="宋体" w:eastAsia="宋体" w:cs="宋体"/>
          <w:b/>
          <w:bCs/>
          <w:color w:val="auto"/>
          <w:sz w:val="24"/>
          <w:szCs w:val="24"/>
          <w:lang w:val="en-US" w:eastAsia="zh-CN"/>
        </w:rPr>
        <w:t xml:space="preserve">13</w:t>
      </w:r>
      <w:r>
        <w:rPr>
          <w:rFonts w:hint="eastAsia" w:ascii="宋体" w:hAnsi="宋体" w:eastAsia="宋体" w:cs="宋体"/>
          <w:b/>
          <w:bCs/>
          <w:color w:val="auto"/>
          <w:sz w:val="24"/>
          <w:szCs w:val="24"/>
          <w:lang w:val="en"/>
        </w:rPr>
        <w:t xml:space="preserve">政府采购中实施本国产品标准及相关政策</w:t>
      </w:r>
      <w:r/>
    </w:p>
    <w:p>
      <w:pPr>
        <w:contextualSpacing/>
        <w:ind w:firstLine="480"/>
        <w:spacing w:line="360" w:lineRule="auto"/>
        <w:rPr>
          <w:rFonts w:hint="eastAsia" w:ascii="宋体" w:hAnsi="宋体" w:eastAsia="宋体" w:cs="宋体"/>
          <w:color w:val="auto"/>
          <w:sz w:val="24"/>
          <w:szCs w:val="24"/>
          <w:lang w:val="en"/>
        </w:rPr>
      </w:pPr>
      <w:r>
        <w:rPr>
          <w:rFonts w:hint="eastAsia" w:ascii="宋体" w:hAnsi="宋体" w:eastAsia="宋体" w:cs="宋体"/>
          <w:color w:val="auto"/>
          <w:sz w:val="24"/>
          <w:szCs w:val="24"/>
          <w:lang w:val="en"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 w:eastAsia="zh-CN"/>
        </w:rPr>
        <w:t xml:space="preserve">）</w:t>
      </w:r>
      <w:r>
        <w:rPr>
          <w:rFonts w:hint="eastAsia" w:ascii="宋体" w:hAnsi="宋体" w:eastAsia="宋体" w:cs="宋体"/>
          <w:color w:val="auto"/>
          <w:sz w:val="24"/>
          <w:szCs w:val="24"/>
          <w:lang w:val="en"/>
        </w:rPr>
        <w:t xml:space="preserve">本项目对采购本国产品给予政策支持，具体内容见招标文件“二、供应商须知 </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en"/>
        </w:rPr>
        <w:t xml:space="preserve">评标方法”。</w:t>
      </w:r>
      <w:r/>
    </w:p>
    <w:p>
      <w:pPr>
        <w:contextualSpacing/>
        <w:ind w:firstLine="480"/>
        <w:spacing w:line="360" w:lineRule="auto"/>
        <w:rPr>
          <w:rFonts w:hint="eastAsia" w:ascii="宋体" w:hAnsi="宋体" w:eastAsia="宋体" w:cs="宋体"/>
          <w:color w:val="auto"/>
          <w:sz w:val="24"/>
          <w:szCs w:val="24"/>
          <w:lang w:val="en"/>
        </w:rPr>
      </w:pPr>
      <w:r>
        <w:rPr>
          <w:rFonts w:hint="eastAsia" w:ascii="宋体" w:hAnsi="宋体" w:eastAsia="宋体" w:cs="宋体"/>
          <w:color w:val="auto"/>
          <w:sz w:val="24"/>
          <w:szCs w:val="24"/>
          <w:lang w:val="en"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 w:eastAsia="zh-CN"/>
        </w:rPr>
        <w:t xml:space="preserve">）</w:t>
      </w:r>
      <w:r>
        <w:rPr>
          <w:rFonts w:hint="eastAsia" w:ascii="宋体" w:hAnsi="宋体" w:eastAsia="宋体" w:cs="宋体"/>
          <w:color w:val="auto"/>
          <w:sz w:val="24"/>
          <w:szCs w:val="24"/>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color w:val="auto"/>
          <w:sz w:val="24"/>
          <w:szCs w:val="24"/>
          <w:lang w:val="en"/>
        </w:rPr>
      </w:pPr>
      <w:r>
        <w:rPr>
          <w:rFonts w:hint="eastAsia" w:ascii="宋体" w:hAnsi="宋体" w:eastAsia="宋体" w:cs="宋体"/>
          <w:color w:val="auto"/>
          <w:sz w:val="24"/>
          <w:szCs w:val="24"/>
          <w:lang w:val="en"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 w:eastAsia="zh-CN"/>
        </w:rPr>
        <w:t xml:space="preserve">）</w:t>
      </w:r>
      <w:r>
        <w:rPr>
          <w:rFonts w:hint="eastAsia" w:ascii="宋体" w:hAnsi="宋体" w:eastAsia="宋体" w:cs="宋体"/>
          <w:color w:val="auto"/>
          <w:sz w:val="24"/>
          <w:szCs w:val="24"/>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color w:val="auto"/>
          <w:lang w:val="zh-CN"/>
        </w:rPr>
      </w:r>
      <w:bookmarkEnd w:id="30"/>
      <w:r/>
    </w:p>
    <w:p>
      <w:pPr>
        <w:pStyle w:val="1114"/>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114"/>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114"/>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114"/>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114"/>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48"/>
          <w:cols w:num="1" w:sep="0" w:space="425" w:equalWidth="1"/>
          <w:docGrid w:linePitch="360"/>
        </w:sectPr>
      </w:pPr>
      <w:r>
        <w:rPr>
          <w:rFonts w:eastAsia="黑体"/>
          <w:color w:val="auto"/>
          <w:sz w:val="44"/>
          <w:szCs w:val="44"/>
          <w:highlight w:val="none"/>
        </w:rPr>
      </w:r>
      <w:r/>
    </w:p>
    <w:p>
      <w:pPr>
        <w:pStyle w:val="1770"/>
        <w:jc w:val="center"/>
        <w:spacing w:line="400" w:lineRule="exact"/>
        <w:rPr>
          <w:rFonts w:hint="eastAsia" w:ascii="黑体" w:hAnsi="华文中宋" w:eastAsia="黑体"/>
          <w:b w:val="0"/>
          <w:bCs w:val="0"/>
          <w:color w:val="000000"/>
          <w:sz w:val="28"/>
          <w:szCs w:val="28"/>
        </w:rPr>
      </w:pPr>
      <w:r/>
      <w:bookmarkStart w:id="33" w:name="_Toc22209"/>
      <w:r/>
      <w:bookmarkStart w:id="34"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33"/>
      <w:r/>
      <w:r/>
    </w:p>
    <w:p>
      <w:pPr>
        <w:pStyle w:val="1770"/>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s="Times New Roman"/>
          <w:color w:val="000000"/>
          <w:szCs w:val="21"/>
          <w:u w:val="single"/>
          <w:lang w:val="en-US" w:eastAsia="zh-CN"/>
        </w:rPr>
        <w:t xml:space="preserve">无锡市锡山区重点建设项目管理中心</w:t>
      </w:r>
      <w:r>
        <w:rPr>
          <w:rFonts w:hint="eastAsia" w:ascii="宋体" w:hAnsi="宋体"/>
          <w:color w:val="000000"/>
          <w:szCs w:val="21"/>
        </w:rPr>
        <w:t xml:space="preserve">（采购人</w:t>
      </w:r>
      <w:r>
        <w:rPr>
          <w:rFonts w:hint="eastAsia" w:ascii="宋体" w:hAnsi="宋体"/>
          <w:color w:val="000000"/>
          <w:szCs w:val="21"/>
          <w:lang w:eastAsia="zh-CN"/>
        </w:rPr>
        <w:t xml:space="preserve">、受采购人委托签订合同的单位</w:t>
      </w:r>
      <w:r>
        <w:rPr>
          <w:rFonts w:hint="eastAsia" w:ascii="宋体" w:hAnsi="宋体"/>
          <w:color w:val="000000"/>
          <w:szCs w:val="21"/>
        </w:rPr>
        <w:t xml:space="preserve">或采购文件约定的合同甲方）</w:t>
      </w:r>
      <w:r/>
    </w:p>
    <w:p>
      <w:pPr>
        <w:spacing w:before="0" w:line="400" w:lineRule="exact"/>
        <w:rPr>
          <w:rFonts w:ascii="宋体" w:hAnsi="宋体"/>
          <w:color w:val="000000"/>
          <w:szCs w:val="21"/>
        </w:rPr>
      </w:pPr>
      <w:r>
        <w:rPr>
          <w:rFonts w:hint="eastAsia" w:ascii="宋体" w:hAnsi="宋体"/>
          <w:color w:val="000000"/>
          <w:szCs w:val="21"/>
        </w:rPr>
        <w:t xml:space="preserve">乙方</w:t>
      </w:r>
      <w:r>
        <w:rPr>
          <w:rFonts w:hint="eastAsia" w:ascii="宋体" w:hAnsi="宋体"/>
          <w:color w:val="000000"/>
          <w:szCs w:val="21"/>
          <w:lang w:val="en-US" w:eastAsia="zh-CN"/>
        </w:rPr>
        <w:t xml:space="preserve">1</w:t>
      </w:r>
      <w:r>
        <w:rPr>
          <w:rFonts w:hint="eastAsia" w:ascii="宋体" w:hAnsi="宋体"/>
          <w:color w:val="000000"/>
          <w:szCs w:val="21"/>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（供应商）</w:t>
      </w:r>
      <w:r/>
    </w:p>
    <w:p>
      <w:pPr>
        <w:spacing w:before="0" w:line="400" w:lineRule="exact"/>
        <w:rPr>
          <w:rFonts w:hint="eastAsia"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before="0" w:line="400" w:lineRule="exact"/>
        <w:rPr>
          <w:rFonts w:hint="eastAsia" w:ascii="宋体" w:hAnsi="宋体"/>
          <w:color w:val="000000"/>
          <w:szCs w:val="21"/>
        </w:rPr>
      </w:pPr>
      <w:r>
        <w:rPr>
          <w:rFonts w:hint="eastAsia" w:ascii="等线" w:eastAsia="等线"/>
          <w:color w:val="000000"/>
          <w:lang w:eastAsia="zh-CN"/>
        </w:rPr>
        <w:t xml:space="preserve">乙方</w:t>
      </w:r>
      <w:r>
        <w:rPr>
          <w:rFonts w:hint="eastAsia" w:ascii="宋体" w:hAnsi="宋体"/>
          <w:color w:val="000000"/>
          <w:szCs w:val="21"/>
          <w:lang w:val="en-US" w:eastAsia="zh-CN"/>
        </w:rPr>
        <w:t xml:space="preserve">3</w:t>
      </w:r>
      <w:r>
        <w:rPr>
          <w:rFonts w:hint="eastAsia" w:ascii="等线" w:eastAsia="等线"/>
          <w:color w:val="000000"/>
          <w:lang w:val="en-US" w:eastAsia="zh-CN"/>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line="400" w:lineRule="exact"/>
        <w:rPr>
          <w:rFonts w:hint="default" w:eastAsia="宋体"/>
          <w:color w:val="000000"/>
          <w:lang w:val="en-US" w:eastAsia="zh-CN"/>
        </w:rPr>
      </w:pPr>
      <w:r>
        <w:rPr>
          <w:rFonts w:hint="default" w:eastAsia="宋体"/>
          <w:color w:val="000000"/>
          <w:lang w:val="en-US" w:eastAsia="zh-CN"/>
        </w:rPr>
      </w:r>
      <w:r/>
    </w:p>
    <w:p>
      <w:pPr>
        <w:ind w:left="0" w:firstLine="420"/>
        <w:jc w:val="both"/>
        <w:spacing w:before="0" w:after="0" w:line="400" w:lineRule="exact"/>
        <w:widowControl w:val="off"/>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 xml:space="preserve">依据《中华人民共和国民法典》《中华人民共和国政府采购法》等有关的法律法规，以及</w:t>
      </w:r>
      <w:r>
        <w:rPr>
          <w:rFonts w:hint="eastAsia" w:ascii="宋体" w:hAnsi="宋体" w:eastAsia="等线" w:cs="Times New Roman"/>
          <w:i w:val="0"/>
          <w:iCs w:val="0"/>
          <w:color w:val="000000"/>
          <w:sz w:val="21"/>
          <w:szCs w:val="21"/>
          <w:u w:val="none"/>
          <w:lang w:eastAsia="zh-CN"/>
        </w:rPr>
        <w:t xml:space="preserve">本采购项目</w:t>
      </w:r>
      <w:r>
        <w:rPr>
          <w:rFonts w:hint="eastAsia" w:ascii="宋体" w:hAnsi="宋体" w:eastAsia="等线" w:cs="Times New Roman"/>
          <w:color w:val="000000"/>
          <w:sz w:val="21"/>
          <w:szCs w:val="21"/>
          <w:lang w:eastAsia="zh-CN"/>
        </w:rPr>
        <w:t xml:space="preserve">的招标</w:t>
      </w:r>
      <w:r>
        <w:rPr>
          <w:rFonts w:hint="eastAsia" w:ascii="宋体" w:hAnsi="宋体" w:eastAsia="等线" w:cs="Times New Roman"/>
          <w:color w:val="000000"/>
          <w:sz w:val="21"/>
          <w:szCs w:val="21"/>
          <w:lang w:val="en-US" w:eastAsia="zh-CN"/>
        </w:rPr>
        <w:t xml:space="preserve">/谈判</w:t>
      </w:r>
      <w:r>
        <w:rPr>
          <w:rFonts w:hint="eastAsia" w:ascii="宋体" w:hAnsi="宋体" w:eastAsia="等线" w:cs="Times New Roman"/>
          <w:color w:val="000000"/>
          <w:sz w:val="21"/>
          <w:szCs w:val="21"/>
          <w:lang w:eastAsia="zh-CN"/>
        </w:rPr>
        <w:t xml:space="preserve">文件等采购文件、乙方的《投标（响应）文件》及《中标（成交）通知书》，甲乙双方同意签订本合同。具体情况及要求如下：     </w:t>
      </w:r>
      <w:r/>
    </w:p>
    <w:p>
      <w:pPr>
        <w:numPr>
          <w:ilvl w:val="0"/>
          <w:numId w:val="39"/>
        </w:numPr>
        <w:ind w:firstLine="420"/>
        <w:spacing w:before="0" w:line="400" w:lineRule="exact"/>
        <w:rPr>
          <w:rFonts w:ascii="宋体" w:hAnsi="宋体"/>
          <w:b/>
          <w:color w:val="000000"/>
          <w:szCs w:val="21"/>
        </w:rPr>
      </w:pPr>
      <w:r>
        <w:rPr>
          <w:rFonts w:hint="eastAsia" w:ascii="宋体" w:hAnsi="宋体"/>
          <w:b/>
          <w:color w:val="000000"/>
          <w:szCs w:val="21"/>
        </w:rPr>
        <w:t xml:space="preserve">项目信息</w:t>
      </w:r>
      <w:r/>
    </w:p>
    <w:p>
      <w:pPr>
        <w:numPr>
          <w:ilvl w:val="0"/>
          <w:numId w:val="40"/>
        </w:numPr>
        <w:ind w:left="0" w:firstLine="420"/>
        <w:jc w:val="both"/>
        <w:spacing w:before="0" w:after="0" w:line="400" w:lineRule="exact"/>
        <w:widowControl w:val="off"/>
        <w:rPr>
          <w:rFonts w:hint="eastAsia" w:ascii="宋体" w:hAnsi="宋体" w:eastAsia="等线" w:cs="Times New Roman"/>
          <w:color w:val="000000"/>
          <w:sz w:val="21"/>
          <w:szCs w:val="21"/>
          <w:u w:val="single"/>
          <w:lang w:val="en-US" w:eastAsia="zh-CN"/>
        </w:rPr>
      </w:pPr>
      <w:r>
        <w:rPr>
          <w:rFonts w:hint="eastAsia" w:ascii="宋体" w:hAnsi="宋体" w:eastAsia="等线" w:cs="Times New Roman"/>
          <w:color w:val="000000"/>
          <w:sz w:val="21"/>
          <w:szCs w:val="21"/>
          <w:lang w:eastAsia="zh-CN"/>
        </w:rPr>
        <w:t xml:space="preserve">采购项目名称：</w:t>
      </w:r>
      <w:r>
        <w:rPr>
          <w:rFonts w:hint="eastAsia" w:ascii="宋体" w:hAnsi="宋体" w:cs="Times New Roman"/>
          <w:color w:val="000000"/>
          <w:sz w:val="21"/>
          <w:szCs w:val="21"/>
          <w:u w:val="single"/>
          <w:lang w:eastAsia="zh-CN"/>
        </w:rPr>
        <w:t xml:space="preserve">无锡市锡山人民医院东亭分院改扩建项目医用气体采购项目</w:t>
      </w:r>
      <w:r/>
    </w:p>
    <w:p>
      <w:pPr>
        <w:numPr>
          <w:ilvl w:val="12"/>
          <w:numId w:val="0"/>
        </w:numPr>
        <w:ind w:left="0" w:firstLine="0"/>
        <w:jc w:val="both"/>
        <w:spacing w:before="0" w:after="0" w:line="400" w:lineRule="exact"/>
        <w:widowControl w:val="off"/>
        <w:tabs>
          <w:tab w:val="left" w:pos="999" w:leader="none"/>
        </w:tabs>
        <w:rPr>
          <w:rFonts w:hint="default" w:ascii="宋体" w:hAnsi="宋体" w:eastAsia="宋体" w:cs="Times New Roman"/>
          <w:color w:val="000000"/>
          <w:sz w:val="21"/>
          <w:szCs w:val="21"/>
          <w:u w:val="none"/>
          <w:lang w:val="en-US" w:eastAsia="zh-CN"/>
        </w:rPr>
      </w:pPr>
      <w:r>
        <w:rPr>
          <w:rFonts w:hint="eastAsia" w:ascii="宋体" w:hAnsi="宋体" w:eastAsia="等线" w:cs="Times New Roman"/>
          <w:color w:val="000000"/>
          <w:sz w:val="21"/>
          <w:szCs w:val="21"/>
          <w:u w:val="none"/>
          <w:lang w:val="en-US" w:eastAsia="zh-CN"/>
        </w:rPr>
        <w:t xml:space="preserve">         采购项目编号：</w:t>
      </w:r>
      <w:r>
        <w:rPr>
          <w:rFonts w:hint="default" w:ascii="宋体" w:hAnsi="宋体" w:eastAsia="等线" w:cs="Times New Roman"/>
          <w:color w:val="000000"/>
          <w:sz w:val="21"/>
          <w:szCs w:val="21"/>
          <w:u w:val="single"/>
          <w:lang w:eastAsia="zh-CN"/>
        </w:rPr>
        <w:t xml:space="preserve">                                          </w:t>
      </w:r>
      <w:r/>
    </w:p>
    <w:p>
      <w:pPr>
        <w:ind w:left="0" w:firstLine="420"/>
        <w:jc w:val="both"/>
        <w:spacing w:before="0" w:after="0" w:line="400" w:lineRule="exact"/>
        <w:widowControl w:val="off"/>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 xml:space="preserve">（2）采购计划编号：</w:t>
      </w:r>
      <w:r>
        <w:rPr>
          <w:rFonts w:hint="default" w:ascii="宋体" w:hAnsi="宋体" w:eastAsia="等线" w:cs="Times New Roman"/>
          <w:color w:val="000000"/>
          <w:sz w:val="21"/>
          <w:szCs w:val="21"/>
          <w:u w:val="single"/>
          <w:lang w:eastAsia="zh-CN"/>
        </w:rPr>
        <w:t xml:space="preserve">                     </w:t>
      </w:r>
      <w:r>
        <w:rPr>
          <w:rFonts w:hint="eastAsia"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lang w:eastAsia="zh-CN"/>
        </w:rPr>
        <w:t xml:space="preserve"> </w:t>
      </w:r>
      <w:r/>
    </w:p>
    <w:p>
      <w:pPr>
        <w:ind w:firstLine="420"/>
        <w:spacing w:before="0" w:line="400" w:lineRule="exact"/>
        <w:rPr>
          <w:rFonts w:hint="eastAsia" w:ascii="宋体" w:hAnsi="宋体"/>
          <w:color w:val="000000"/>
          <w:szCs w:val="21"/>
        </w:rPr>
      </w:pPr>
      <w:r>
        <w:rPr>
          <w:rFonts w:hint="eastAsia" w:ascii="宋体" w:hAnsi="宋体"/>
          <w:color w:val="000000"/>
          <w:szCs w:val="21"/>
        </w:rPr>
        <w:t xml:space="preserve">（3）项目内容：</w:t>
      </w:r>
      <w:r/>
    </w:p>
    <w:p>
      <w:pPr>
        <w:ind w:firstLine="42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采购标的及数量</w:t>
      </w:r>
      <w:r>
        <w:rPr>
          <w:rFonts w:hint="eastAsia" w:ascii="宋体" w:hAnsi="宋体"/>
          <w:color w:val="000000"/>
          <w:szCs w:val="21"/>
          <w:lang w:val="en-US" w:eastAsia="zh-CN"/>
        </w:rPr>
        <w:t xml:space="preserve">（台/套</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个</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架</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组等</w:t>
      </w:r>
      <w:r>
        <w:rPr>
          <w:rFonts w:hint="eastAsia" w:ascii="宋体" w:hAnsi="宋体"/>
          <w:color w:val="000000"/>
          <w:szCs w:val="21"/>
          <w:lang w:val="en-US" w:eastAsia="zh-CN"/>
        </w:rPr>
        <w:t xml:space="preserve">）</w:t>
      </w:r>
      <w:r>
        <w:rPr>
          <w:rFonts w:hint="eastAsia" w:ascii="宋体" w:hAnsi="宋体"/>
          <w:color w:val="000000"/>
          <w:szCs w:val="21"/>
          <w:lang w:eastAsia="zh-CN"/>
        </w:rPr>
        <w:t xml:space="preserve">：</w:t>
      </w:r>
      <w:r>
        <w:rPr>
          <w:rFonts w:hint="eastAsia" w:ascii="宋体" w:hAnsi="宋体"/>
          <w:color w:val="000000"/>
          <w:szCs w:val="21"/>
          <w:u w:val="single"/>
          <w:lang w:val="en-US" w:eastAsia="zh-CN"/>
        </w:rPr>
        <w:t xml:space="preserve">                       </w:t>
      </w:r>
      <w:r>
        <w:rPr>
          <w:rFonts w:hint="eastAsia" w:ascii="宋体" w:hAnsi="宋体"/>
          <w:color w:val="000000"/>
          <w:szCs w:val="21"/>
          <w:u w:val="non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p>
      <w:pPr>
        <w:numPr>
          <w:ilvl w:val="12"/>
          <w:numId w:val="0"/>
        </w:numPr>
        <w:ind w:firstLine="420"/>
        <w:spacing w:before="0" w:line="400" w:lineRule="exact"/>
        <w:rPr>
          <w:rFonts w:hint="default" w:ascii="宋体" w:hAnsi="宋体" w:cs="宋体"/>
          <w:color w:val="000000"/>
          <w:szCs w:val="21"/>
          <w:lang w:val="en" w:eastAsia="zh-CN"/>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none"/>
          <w:lang w:val="en" w:eastAsia="zh-CN"/>
        </w:rPr>
        <w:t xml:space="preserve">     </w:t>
      </w:r>
      <w:r>
        <w:rPr>
          <w:rFonts w:hint="eastAsia" w:ascii="宋体" w:hAnsi="宋体" w:cs="宋体"/>
          <w:color w:val="000000"/>
          <w:szCs w:val="21"/>
          <w:lang w:val="en-US" w:eastAsia="zh-CN"/>
        </w:rPr>
        <w:t xml:space="preserve">规格型号：</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p>
    <w:p>
      <w:pPr>
        <w:ind w:firstLine="945"/>
        <w:spacing w:before="0" w:line="400" w:lineRule="exact"/>
        <w:rPr>
          <w:rFonts w:ascii="宋体" w:hAnsi="宋体"/>
          <w:color w:val="000000"/>
          <w:szCs w:val="21"/>
          <w:highlight w:val="none"/>
          <w:u w:val="single"/>
        </w:rPr>
      </w:pPr>
      <w:r>
        <w:rPr>
          <w:rFonts w:hint="eastAsia" w:ascii="宋体" w:hAnsi="宋体"/>
          <w:color w:val="000000"/>
          <w:szCs w:val="21"/>
          <w:highlight w:val="none"/>
          <w:u w:val="none"/>
          <w:lang w:val="en-US" w:eastAsia="zh-CN"/>
        </w:rPr>
        <w:t xml:space="preserve">采购标的的技术要求、商务要求具体见附件。</w:t>
      </w:r>
      <w:r/>
    </w:p>
    <w:p>
      <w:pPr>
        <w:numPr>
          <w:ilvl w:val="12"/>
          <w:numId w:val="0"/>
        </w:numPr>
        <w:ind w:firstLine="945"/>
        <w:spacing w:before="0" w:line="400" w:lineRule="exact"/>
        <w:rPr>
          <w:rFonts w:hint="eastAsia" w:ascii="宋体" w:hAnsi="宋体" w:cs="宋体"/>
          <w:color w:val="000000"/>
          <w:szCs w:val="21"/>
          <w:lang w:val="en-US" w:eastAsia="zh-CN"/>
        </w:rPr>
      </w:pPr>
      <w:r>
        <w:rPr>
          <w:rFonts w:hint="eastAsia" w:ascii="汉仪书宋二S" w:hAnsi="汉仪书宋二S" w:eastAsia="汉仪书宋二S" w:cs="汉仪书宋二S"/>
          <w:color w:val="000000"/>
          <w:szCs w:val="21"/>
          <w:lang w:val="en-US" w:eastAsia="zh-CN"/>
        </w:rPr>
        <w:t xml:space="preserve">①</w:t>
      </w:r>
      <w:r>
        <w:rPr>
          <w:rFonts w:hint="eastAsia" w:ascii="宋体" w:hAnsi="宋体" w:cs="宋体"/>
          <w:color w:val="000000"/>
          <w:szCs w:val="21"/>
          <w:lang w:val="en-US" w:eastAsia="zh-CN"/>
        </w:rPr>
        <w:t xml:space="preserve">涉及信息类产品，请填写该产品关键部件的品牌、型号：</w:t>
      </w:r>
      <w:r/>
    </w:p>
    <w:p>
      <w:pPr>
        <w:numPr>
          <w:ilvl w:val="12"/>
          <w:numId w:val="0"/>
        </w:numPr>
        <w:ind w:firstLine="420"/>
        <w:spacing w:before="0" w:line="400" w:lineRule="exact"/>
        <w:rPr>
          <w:rFonts w:hint="eastAsia" w:ascii="宋体" w:hAnsi="宋体" w:cs="宋体"/>
          <w:color w:val="000000"/>
          <w:szCs w:val="21"/>
          <w:u w:val="single"/>
          <w:lang w:val="en-US" w:eastAsia="zh-CN"/>
        </w:rPr>
      </w:pPr>
      <w:r>
        <w:rPr>
          <w:rFonts w:hint="eastAsia" w:ascii="宋体" w:hAnsi="宋体" w:cs="宋体"/>
          <w:color w:val="000000"/>
          <w:szCs w:val="21"/>
          <w:lang w:val="en-US" w:eastAsia="zh-CN"/>
        </w:rPr>
        <w:t xml:space="preserve">     标的名称：</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p>
    <w:p>
      <w:pPr>
        <w:numPr>
          <w:ilvl w:val="12"/>
          <w:numId w:val="0"/>
        </w:numPr>
        <w:ind w:firstLine="420"/>
        <w:spacing w:before="0"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     关键部件：</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型号：</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p>
    <w:p>
      <w:pPr>
        <w:ind w:firstLine="440"/>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r/>
    </w:p>
    <w:p>
      <w:pPr>
        <w:ind w:firstLine="440"/>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p>
    <w:p>
      <w:pPr>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汉仪书宋二S" w:hAnsi="汉仪书宋二S" w:eastAsia="汉仪书宋二S" w:cs="汉仪书宋二S"/>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涉及车辆采购，请填写是否属于新能源汽车：</w:t>
      </w:r>
      <w:r/>
    </w:p>
    <w:p>
      <w:pPr>
        <w:numPr>
          <w:ilvl w:val="12"/>
          <w:numId w:val="0"/>
        </w:numPr>
        <w:ind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是，《政府采购品目分类目录》底级品目名称</w:t>
      </w:r>
      <w:r>
        <w:rPr>
          <w:rFonts w:hint="eastAsia" w:ascii="Arial" w:hAnsi="Arial" w:eastAsia="Arial" w:cs="Arial"/>
          <w:color w:val="000000"/>
          <w:sz w:val="21"/>
          <w:szCs w:val="21"/>
          <w:lang w:val="en-US" w:eastAsia="zh-CN"/>
        </w:rPr>
        <w:t xml:space="preserve">：</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数量：</w:t>
      </w:r>
      <w:r>
        <w:rPr>
          <w:rFonts w:hint="eastAsia" w:ascii="Arial" w:hAnsi="Arial" w:eastAsia="Arial" w:cs="Arial"/>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金额：</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iCs w:val="0"/>
          <w:color w:val="000000"/>
          <w:sz w:val="21"/>
          <w:szCs w:val="21"/>
          <w:lang w:val="en-US" w:eastAsia="zh-CN"/>
        </w:rPr>
        <w:t xml:space="preserve"> </w:t>
      </w:r>
      <w:r/>
    </w:p>
    <w:p>
      <w:pPr>
        <w:numPr>
          <w:ilvl w:val="12"/>
          <w:numId w:val="0"/>
        </w:numPr>
        <w:ind w:firstLine="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否</w:t>
      </w:r>
      <w:r/>
    </w:p>
    <w:p>
      <w:pPr>
        <w:numPr>
          <w:ilvl w:val="12"/>
          <w:numId w:val="0"/>
        </w:numPr>
        <w:ind w:left="0"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iCs w:val="0"/>
          <w:color w:val="000000"/>
          <w:sz w:val="21"/>
          <w:szCs w:val="21"/>
          <w:lang w:val="en-US" w:eastAsia="zh-CN"/>
        </w:rPr>
        <w:t xml:space="preserve">    （</w:t>
      </w:r>
      <w:r>
        <w:rPr>
          <w:rFonts w:hint="default" w:ascii="Arial" w:hAnsi="Arial" w:eastAsia="Arial" w:cs="Arial"/>
          <w:iCs w:val="0"/>
          <w:color w:val="000000"/>
          <w:sz w:val="21"/>
          <w:szCs w:val="21"/>
          <w:lang w:val="en" w:eastAsia="zh-CN"/>
        </w:rPr>
        <w:t xml:space="preserve">4</w:t>
      </w:r>
      <w:r>
        <w:rPr>
          <w:rFonts w:hint="eastAsia" w:ascii="Arial" w:hAnsi="Arial" w:eastAsia="Arial" w:cs="Arial"/>
          <w:iCs w:val="0"/>
          <w:color w:val="000000"/>
          <w:sz w:val="21"/>
          <w:szCs w:val="21"/>
          <w:lang w:val="en-US" w:eastAsia="zh-CN"/>
        </w:rPr>
        <w:t xml:space="preserve">）政府采购组织形式：</w:t>
      </w:r>
      <w:r>
        <w:rPr>
          <w:rFonts w:hint="default" w:ascii="Wingdings" w:hAnsi="Wingdings" w:eastAsia="Wingdings" w:cs="Wingdings"/>
          <w:iCs w:val="0"/>
          <w:color w:val="000000"/>
          <w:sz w:val="21"/>
          <w:szCs w:val="21"/>
          <w:lang w:eastAsia="zh-CN"/>
        </w:rPr>
        <w:t xml:space="preserve">þ</w:t>
      </w:r>
      <w:r>
        <w:rPr>
          <w:rFonts w:hint="eastAsia" w:ascii="Arial" w:hAnsi="Arial" w:eastAsia="Arial" w:cs="Arial"/>
          <w:iCs w:val="0"/>
          <w:color w:val="000000"/>
          <w:sz w:val="21"/>
          <w:szCs w:val="21"/>
          <w:lang w:eastAsia="zh-CN"/>
        </w:rPr>
        <w:t xml:space="preserve">政府集中采购</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val="en-US" w:eastAsia="zh-CN"/>
        </w:rPr>
        <w:t xml:space="preserve">部门集中采购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val="en-US" w:eastAsia="zh-CN"/>
        </w:rPr>
        <w:t xml:space="preserve">分散采购</w:t>
      </w:r>
      <w:r/>
    </w:p>
    <w:p>
      <w:pPr>
        <w:numPr>
          <w:ilvl w:val="12"/>
          <w:numId w:val="0"/>
        </w:numPr>
        <w:ind w:left="0" w:firstLine="42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w:t>
      </w:r>
      <w:r>
        <w:rPr>
          <w:rFonts w:hint="default" w:ascii="Arial" w:hAnsi="Arial" w:eastAsia="Arial" w:cs="Arial"/>
          <w:iCs w:val="0"/>
          <w:color w:val="000000"/>
          <w:sz w:val="21"/>
          <w:szCs w:val="21"/>
          <w:lang w:val="en" w:eastAsia="zh-CN"/>
        </w:rPr>
        <w:t xml:space="preserve">5</w:t>
      </w:r>
      <w:r>
        <w:rPr>
          <w:rFonts w:hint="eastAsia" w:ascii="Arial" w:hAnsi="Arial" w:eastAsia="Arial" w:cs="Arial"/>
          <w:iCs w:val="0"/>
          <w:color w:val="000000"/>
          <w:sz w:val="21"/>
          <w:szCs w:val="21"/>
          <w:lang w:val="en-US" w:eastAsia="zh-CN"/>
        </w:rPr>
        <w:t xml:space="preserve">）政府采购方式：</w:t>
      </w:r>
      <w:r>
        <w:rPr>
          <w:rFonts w:hint="default" w:ascii="Wingdings" w:hAnsi="Wingdings" w:eastAsia="Wingdings" w:cs="Wingdings"/>
          <w:iCs w:val="0"/>
          <w:color w:val="000000"/>
          <w:sz w:val="21"/>
          <w:szCs w:val="21"/>
          <w:lang w:eastAsia="zh-CN"/>
        </w:rPr>
        <w:t xml:space="preserve">þ</w:t>
      </w:r>
      <w:r>
        <w:rPr>
          <w:rFonts w:hint="eastAsia" w:ascii="Arial" w:hAnsi="Arial" w:eastAsia="Arial" w:cs="Arial"/>
          <w:iCs w:val="0"/>
          <w:color w:val="000000"/>
          <w:sz w:val="21"/>
          <w:szCs w:val="21"/>
          <w:lang w:eastAsia="zh-CN"/>
        </w:rPr>
        <w:t xml:space="preserve">公开招标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邀请招标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竞争性谈判</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竞争性磋商</w:t>
      </w:r>
      <w:r/>
    </w:p>
    <w:p>
      <w:pPr>
        <w:numPr>
          <w:ilvl w:val="12"/>
          <w:numId w:val="0"/>
        </w:numPr>
        <w:ind w:left="0" w:firstLine="420"/>
        <w:spacing w:before="0" w:line="400" w:lineRule="exact"/>
        <w:rPr>
          <w:rFonts w:hint="eastAsia" w:ascii="宋体" w:hAnsi="宋体" w:eastAsia="宋体" w:cs="宋体"/>
          <w:iCs w:val="0"/>
          <w:color w:val="000000"/>
          <w:sz w:val="21"/>
          <w:szCs w:val="21"/>
          <w:u w:val="single"/>
          <w:lang w:val="en-US" w:eastAsia="zh-CN"/>
        </w:rPr>
      </w:pPr>
      <w:r>
        <w:rPr>
          <w:rFonts w:hint="eastAsia" w:ascii="宋体" w:hAnsi="宋体" w:eastAsia="华文楷体" w:cs="宋体"/>
          <w:color w:val="000000"/>
          <w:sz w:val="22"/>
          <w:szCs w:val="21"/>
          <w:u w:val="none"/>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询价</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单一来源</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框架协议</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其他：</w:t>
      </w:r>
      <w:r>
        <w:rPr>
          <w:rFonts w:hint="eastAsia" w:ascii="宋体" w:hAnsi="宋体" w:eastAsia="宋体" w:cs="宋体"/>
          <w:iCs w:val="0"/>
          <w:color w:val="000000"/>
          <w:sz w:val="21"/>
          <w:szCs w:val="21"/>
          <w:u w:val="single"/>
          <w:lang w:val="en-US" w:eastAsia="zh-CN"/>
        </w:rPr>
        <w:t xml:space="preserve">          </w:t>
      </w:r>
      <w:r/>
    </w:p>
    <w:p>
      <w:pPr>
        <w:numPr>
          <w:ilvl w:val="12"/>
          <w:numId w:val="0"/>
        </w:numPr>
        <w:ind w:left="0" w:firstLine="420"/>
        <w:spacing w:before="0" w:line="400" w:lineRule="exact"/>
        <w:rPr>
          <w:rFonts w:hint="default"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（注：在框架协议采购的第二阶段，可选择使用该合同文本）</w:t>
      </w:r>
      <w:r/>
    </w:p>
    <w:p>
      <w:pPr>
        <w:numPr>
          <w:ilvl w:val="12"/>
          <w:numId w:val="0"/>
        </w:numPr>
        <w:ind w:firstLine="220"/>
        <w:spacing w:before="0" w:line="400" w:lineRule="exact"/>
        <w:rPr>
          <w:rFonts w:hint="eastAsia" w:ascii="宋体" w:hAnsi="宋体" w:eastAsia="宋体" w:cs="Times New Roman"/>
          <w:color w:val="000000"/>
          <w:sz w:val="21"/>
          <w:szCs w:val="21"/>
          <w:lang w:val="en-US" w:eastAsia="zh-CN" w:bidi="ar-SA"/>
        </w:rPr>
      </w:pPr>
      <w:r>
        <w:rPr>
          <w:rFonts w:hint="eastAsia" w:ascii="宋体" w:hAnsi="宋体" w:eastAsia="华文楷体" w:cs="华文楷体"/>
          <w:color w:val="000000"/>
          <w:sz w:val="22"/>
          <w:szCs w:val="21"/>
          <w:lang w:val="en-US" w:eastAsia="zh-CN"/>
        </w:rPr>
        <w:t xml:space="preserve"> （</w:t>
      </w:r>
      <w:r>
        <w:rPr>
          <w:rFonts w:hint="default" w:ascii="宋体" w:hAnsi="宋体" w:eastAsia="华文楷体" w:cs="华文楷体"/>
          <w:color w:val="000000"/>
          <w:sz w:val="22"/>
          <w:szCs w:val="21"/>
          <w:lang w:val="en" w:eastAsia="zh-CN"/>
        </w:rPr>
        <w:t xml:space="preserve">6</w:t>
      </w:r>
      <w:r>
        <w:rPr>
          <w:rFonts w:hint="eastAsia" w:ascii="宋体" w:hAnsi="宋体" w:eastAsia="华文楷体" w:cs="华文楷体"/>
          <w:color w:val="000000"/>
          <w:sz w:val="22"/>
          <w:szCs w:val="21"/>
          <w:lang w:val="en-US" w:eastAsia="zh-CN"/>
        </w:rPr>
        <w:t xml:space="preserve">）</w:t>
      </w:r>
      <w:r>
        <w:rPr>
          <w:rFonts w:hint="eastAsia" w:ascii="宋体" w:hAnsi="宋体" w:eastAsia="宋体" w:cs="Times New Roman"/>
          <w:color w:val="000000"/>
          <w:sz w:val="21"/>
          <w:szCs w:val="21"/>
          <w:lang w:val="en-US" w:eastAsia="zh-CN" w:bidi="ar-SA"/>
        </w:rPr>
        <w:t xml:space="preserve">中标（成交）采购标的制造商是否为中小企业：</w:t>
      </w:r>
      <w:r>
        <w:rPr>
          <w:rFonts w:hint="default"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是      </w:t>
      </w:r>
      <w:r>
        <w:rPr>
          <w:rFonts w:hint="default"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p>
    <w:p>
      <w:pPr>
        <w:numPr>
          <w:ilvl w:val="12"/>
          <w:numId w:val="0"/>
        </w:numPr>
        <w:ind w:left="0" w:firstLine="0"/>
        <w:spacing w:before="0" w:line="400" w:lineRule="exact"/>
        <w:rPr>
          <w:rFonts w:hint="eastAsia" w:ascii="宋体" w:hAnsi="宋体"/>
          <w:iCs/>
          <w:color w:val="000000"/>
          <w:szCs w:val="21"/>
        </w:rPr>
      </w:pPr>
      <w:r>
        <w:rPr>
          <w:rFonts w:hint="eastAsia" w:ascii="宋体" w:hAnsi="宋体"/>
          <w:color w:val="000000"/>
          <w:szCs w:val="21"/>
          <w:lang w:val="en-US" w:eastAsia="zh-CN"/>
        </w:rPr>
        <w:t xml:space="preserve">         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ascii="等线" w:eastAsia="等线"/>
          <w:color w:val="000000"/>
          <w:lang w:val="en-US" w:eastAsia="zh-CN"/>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ascii="等线" w:eastAsia="等线"/>
          <w:color w:val="000000"/>
          <w:lang w:val="en-US" w:eastAsia="zh-CN"/>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0"/>
          <w:numId w:val="0"/>
        </w:numPr>
        <w:ind w:firstLine="0"/>
        <w:spacing w:line="400" w:lineRule="exact"/>
        <w:rPr>
          <w:rFonts w:hint="default"/>
          <w:color w:val="000000"/>
          <w:lang w:val="en-US" w:eastAsia="zh-CN"/>
        </w:rPr>
      </w:pPr>
      <w:r>
        <w:rPr>
          <w:rFonts w:hint="eastAsia" w:ascii="等线" w:eastAsia="等线"/>
          <w:color w:val="000000"/>
          <w:lang w:val="en-US" w:eastAsia="zh-CN"/>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default" w:ascii="宋体" w:hAnsi="宋体"/>
          <w:color w:val="000000"/>
          <w:szCs w:val="21"/>
          <w:lang w:val="en" w:eastAsia="zh-C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84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分包主要内容：</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840"/>
        <w:spacing w:before="0" w:line="400" w:lineRule="exact"/>
        <w:rPr>
          <w:rFonts w:hint="eastAsia" w:ascii="宋体" w:hAnsi="宋体"/>
          <w:color w:val="000000"/>
          <w:szCs w:val="21"/>
          <w:highlight w:val="none"/>
        </w:rPr>
      </w:pPr>
      <w:r>
        <w:rPr>
          <w:rFonts w:hint="eastAsia" w:ascii="宋体" w:hAnsi="宋体"/>
          <w:color w:val="000000"/>
          <w:szCs w:val="21"/>
          <w:u w:val="none"/>
          <w:lang w:val="en-US" w:eastAsia="zh-CN"/>
        </w:rPr>
        <w:t xml:space="preserve"> </w:t>
      </w:r>
      <w:r>
        <w:rPr>
          <w:rFonts w:hint="eastAsia" w:ascii="宋体" w:hAnsi="宋体"/>
          <w:color w:val="000000"/>
          <w:szCs w:val="21"/>
        </w:rPr>
        <w:t xml:space="preserve">分包</w:t>
      </w:r>
      <w:r>
        <w:rPr>
          <w:rFonts w:hint="eastAsia" w:ascii="宋体" w:hAnsi="宋体"/>
          <w:color w:val="000000"/>
          <w:szCs w:val="21"/>
          <w:highlight w:val="none"/>
        </w:rPr>
        <w:t xml:space="preserve">供应商</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（如供应商和制造商不同，请分别填写）</w:t>
      </w:r>
      <w:r>
        <w:rPr>
          <w:rFonts w:hint="eastAsia" w:ascii="宋体" w:hAnsi="宋体"/>
          <w:color w:val="000000"/>
          <w:szCs w:val="21"/>
          <w:highlight w:val="none"/>
        </w:rPr>
        <w:t xml:space="preserve">：</w:t>
      </w:r>
      <w:r/>
    </w:p>
    <w:p>
      <w:pPr>
        <w:ind w:firstLine="840"/>
        <w:spacing w:before="0" w:line="400" w:lineRule="exact"/>
        <w:rPr>
          <w:rFonts w:ascii="宋体" w:hAnsi="宋体"/>
          <w:color w:val="000000"/>
          <w:szCs w:val="21"/>
          <w:highlight w:val="none"/>
          <w:u w:val="single"/>
        </w:rPr>
      </w:pPr>
      <w:r>
        <w:rPr>
          <w:rFonts w:hint="eastAsia" w:ascii="宋体" w:hAnsi="宋体"/>
          <w:color w:val="000000"/>
          <w:szCs w:val="21"/>
          <w:highlight w:val="none"/>
          <w:u w:val="non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p>
    <w:p>
      <w:pPr>
        <w:ind w:firstLine="840"/>
        <w:spacing w:before="0" w:line="400" w:lineRule="exact"/>
        <w:rPr>
          <w:rFonts w:hint="eastAsia" w:ascii="宋体" w:hAnsi="宋体"/>
          <w:color w:val="000000"/>
          <w:szCs w:val="21"/>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分包供应商</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rPr>
        <w:t xml:space="preserve">类型</w:t>
      </w:r>
      <w:r>
        <w:rPr>
          <w:rFonts w:hint="eastAsia" w:ascii="宋体" w:hAnsi="宋体"/>
          <w:color w:val="000000"/>
          <w:szCs w:val="21"/>
          <w:highlight w:val="none"/>
          <w:lang w:eastAsia="zh-CN"/>
        </w:rPr>
        <w:t xml:space="preserve">（如果供应商和制造商不同，只填写制造商类型）</w:t>
      </w:r>
      <w:r>
        <w:rPr>
          <w:rFonts w:hint="eastAsia" w:ascii="宋体" w:hAnsi="宋体"/>
          <w:color w:val="000000"/>
          <w:szCs w:val="21"/>
        </w:rPr>
        <w:t xml:space="preserve">：</w:t>
      </w:r>
      <w:r/>
    </w:p>
    <w:p>
      <w:pPr>
        <w:ind w:firstLine="840"/>
        <w:spacing w:line="400" w:lineRule="exact"/>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w:t>
      </w:r>
      <w:r>
        <w:rPr>
          <w:rFonts w:hint="eastAsia" w:ascii="宋体" w:hAnsi="宋体"/>
          <w:iCs/>
          <w:color w:val="000000"/>
          <w:szCs w:val="21"/>
          <w:lang w:val="en-US" w:eastAsia="zh-CN"/>
        </w:rPr>
        <w:t xml:space="preserve">  </w:t>
      </w:r>
      <w:r/>
    </w:p>
    <w:p>
      <w:pPr>
        <w:ind w:firstLine="840"/>
        <w:spacing w:line="400" w:lineRule="exact"/>
        <w:rPr>
          <w:rFonts w:hint="default" w:eastAsia="华文楷体"/>
          <w:color w:val="000000"/>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残疾人福利性单位</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监狱</w:t>
      </w:r>
      <w:r>
        <w:rPr>
          <w:rFonts w:hint="eastAsia" w:ascii="宋体" w:hAnsi="宋体"/>
          <w:iCs/>
          <w:color w:val="000000"/>
          <w:szCs w:val="21"/>
        </w:rPr>
        <w:t xml:space="preserve">企业</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p>
    <w:p>
      <w:pPr>
        <w:numPr>
          <w:ilvl w:val="12"/>
          <w:numId w:val="0"/>
        </w:numPr>
        <w:ind w:left="0" w:firstLine="0"/>
        <w:spacing w:before="0" w:line="400" w:lineRule="exact"/>
        <w:rPr>
          <w:rFonts w:hint="eastAsia" w:ascii="宋体" w:hAnsi="宋体" w:cs="宋体"/>
          <w:iCs/>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u w:val="none"/>
          <w:lang w:val="en-US" w:eastAsia="zh-CN"/>
        </w:rPr>
        <w:t xml:space="preserve">（</w:t>
      </w:r>
      <w:r>
        <w:rPr>
          <w:rFonts w:hint="default" w:ascii="宋体" w:hAnsi="宋体" w:cs="宋体"/>
          <w:color w:val="000000"/>
          <w:szCs w:val="21"/>
          <w:highlight w:val="none"/>
          <w:u w:val="none"/>
          <w:lang w:val="en" w:eastAsia="zh-CN"/>
        </w:rPr>
        <w:t xml:space="preserve">8</w:t>
      </w:r>
      <w:r>
        <w:rPr>
          <w:rFonts w:hint="eastAsia" w:ascii="宋体" w:hAnsi="宋体" w:cs="宋体"/>
          <w:color w:val="000000"/>
          <w:szCs w:val="21"/>
          <w:highlight w:val="none"/>
          <w:u w:val="none"/>
          <w:lang w:val="en-US" w:eastAsia="zh-CN"/>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ind w:firstLine="440"/>
        <w:spacing w:line="400" w:lineRule="exact"/>
        <w:tabs>
          <w:tab w:val="left" w:pos="134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none"/>
          <w:lang w:val="en-US" w:eastAsia="zh-CN"/>
        </w:rPr>
        <w:t xml:space="preserve">     外商投资企业类型：</w:t>
      </w:r>
      <w:r>
        <w:rPr>
          <w:rFonts w:hint="default" w:ascii="Wingdings" w:hAnsi="Wingdings" w:eastAsia="Wingdings" w:cs="Wingdings"/>
          <w:iCs/>
          <w:color w:val="000000"/>
          <w:sz w:val="21"/>
          <w:szCs w:val="21"/>
          <w:highlight w:val="none"/>
          <w:lang w:eastAsia="zh-CN"/>
        </w:rPr>
        <w:t xml:space="preserve">¨</w:t>
      </w:r>
      <w:r>
        <w:rPr>
          <w:rFonts w:hint="eastAsia" w:ascii="宋体" w:hAnsi="宋体" w:eastAsia="宋体" w:cs="宋体"/>
          <w:color w:val="000000"/>
          <w:sz w:val="21"/>
          <w:szCs w:val="21"/>
          <w:highlight w:val="none"/>
          <w:u w:val="none"/>
          <w:lang w:val="en-US" w:eastAsia="zh-CN"/>
        </w:rPr>
        <w:t xml:space="preserve">全部由外国投资者投资  </w:t>
      </w:r>
      <w:r>
        <w:rPr>
          <w:rFonts w:hint="default" w:ascii="Wingdings" w:hAnsi="Wingdings" w:eastAsia="Wingdings" w:cs="Wingdings"/>
          <w:iCs/>
          <w:color w:val="000000"/>
          <w:sz w:val="21"/>
          <w:szCs w:val="21"/>
          <w:highlight w:val="none"/>
          <w:lang w:eastAsia="zh-CN"/>
        </w:rPr>
        <w:t xml:space="preserve">¨</w:t>
      </w:r>
      <w:r>
        <w:rPr>
          <w:rFonts w:hint="eastAsia" w:ascii="宋体" w:hAnsi="宋体" w:eastAsia="宋体" w:cs="宋体"/>
          <w:iCs/>
          <w:color w:val="000000"/>
          <w:sz w:val="21"/>
          <w:szCs w:val="21"/>
          <w:highlight w:val="none"/>
          <w:lang w:val="en-US" w:eastAsia="zh-CN"/>
        </w:rPr>
        <w:t xml:space="preserve">部分由外国投资者投资</w:t>
      </w:r>
      <w:r/>
    </w:p>
    <w:p>
      <w:pPr>
        <w:numPr>
          <w:ilvl w:val="12"/>
          <w:numId w:val="0"/>
        </w:numPr>
        <w:ind w:firstLine="420"/>
        <w:spacing w:before="0" w:line="400" w:lineRule="exact"/>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w:t>
      </w:r>
      <w:r>
        <w:rPr>
          <w:rFonts w:hint="default" w:ascii="宋体" w:hAnsi="宋体" w:cs="宋体"/>
          <w:b w:val="0"/>
          <w:bCs w:val="0"/>
          <w:color w:val="000000"/>
          <w:sz w:val="21"/>
          <w:szCs w:val="21"/>
          <w:u w:val="none"/>
          <w:lang w:val="en" w:eastAsia="zh-CN"/>
        </w:rPr>
        <w:t xml:space="preserve">9</w:t>
      </w:r>
      <w:r>
        <w:rPr>
          <w:rFonts w:hint="eastAsia" w:ascii="宋体" w:hAnsi="宋体" w:eastAsia="宋体" w:cs="宋体"/>
          <w:b w:val="0"/>
          <w:bCs w:val="0"/>
          <w:color w:val="000000"/>
          <w:sz w:val="21"/>
          <w:szCs w:val="21"/>
          <w:u w:val="none"/>
          <w:lang w:val="en-US" w:eastAsia="zh-CN"/>
        </w:rPr>
        <w:t xml:space="preserve">）是否涉及进口产品：</w:t>
      </w:r>
      <w:r/>
    </w:p>
    <w:p>
      <w:pPr>
        <w:numPr>
          <w:ilvl w:val="12"/>
          <w:numId w:val="0"/>
        </w:numPr>
        <w:ind w:firstLine="840"/>
        <w:spacing w:before="0" w:line="400" w:lineRule="exact"/>
        <w:rPr>
          <w:rFonts w:hint="eastAsia" w:ascii="宋体" w:hAnsi="宋体" w:eastAsia="宋体" w:cs="宋体"/>
          <w:color w:val="000000"/>
          <w:szCs w:val="21"/>
          <w:u w:val="single"/>
          <w:lang w:val="en-US" w:eastAsia="zh-CN"/>
        </w:rPr>
      </w:pPr>
      <w:r>
        <w:rPr>
          <w:rFonts w:hint="eastAsia" w:ascii="宋体" w:hAnsi="宋体" w:cs="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cs="宋体"/>
          <w:iCs w:val="0"/>
          <w:color w:val="000000"/>
          <w:szCs w:val="21"/>
        </w:rPr>
        <w:t xml:space="preserve">是</w:t>
      </w:r>
      <w:r>
        <w:rPr>
          <w:rFonts w:hint="eastAsia" w:ascii="宋体" w:hAnsi="宋体" w:eastAsia="宋体" w:cs="宋体"/>
          <w:iCs w:val="0"/>
          <w:color w:val="000000"/>
          <w:szCs w:val="21"/>
          <w:lang w:eastAsia="zh-CN"/>
        </w:rPr>
        <w:t xml:space="preserve">，</w:t>
      </w:r>
      <w:r>
        <w:rPr>
          <w:rFonts w:hint="eastAsia" w:ascii="宋体" w:hAnsi="宋体" w:cs="宋体"/>
          <w:iCs w:val="0"/>
          <w:color w:val="000000"/>
          <w:szCs w:val="21"/>
          <w:lang w:eastAsia="zh-CN"/>
        </w:rPr>
        <w:t xml:space="preserve">《政府采购品目分类目录》底级品目名称</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 </w:t>
      </w:r>
      <w:r>
        <w:rPr>
          <w:rFonts w:hint="eastAsia" w:ascii="宋体" w:hAnsi="宋体" w:cs="宋体"/>
          <w:color w:val="000000"/>
          <w:szCs w:val="21"/>
          <w:lang w:val="en-US" w:eastAsia="zh-CN"/>
        </w:rPr>
        <w:t xml:space="preserve">金额：</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p>
    <w:p>
      <w:pPr>
        <w:numPr>
          <w:ilvl w:val="12"/>
          <w:numId w:val="0"/>
        </w:numPr>
        <w:ind w:firstLine="840"/>
        <w:spacing w:before="0" w:line="400" w:lineRule="exact"/>
        <w:rPr>
          <w:rFonts w:hint="eastAsia" w:ascii="宋体" w:hAnsi="宋体" w:eastAsia="宋体"/>
          <w:iCs w:val="0"/>
          <w:color w:val="000000"/>
          <w:szCs w:val="21"/>
        </w:rPr>
      </w:pPr>
      <w:r>
        <w:rPr>
          <w:rFonts w:hint="eastAsia" w:ascii="宋体" w:hAnsi="宋体" w:cs="宋体"/>
          <w:color w:val="000000"/>
          <w:szCs w:val="21"/>
          <w:lang w:val="en-US" w:eastAsia="zh-CN"/>
        </w:rPr>
        <w:t xml:space="preserve">        国别：</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 xml:space="preserve">品牌：</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none"/>
          <w:lang w:val="en-US" w:eastAsia="zh-CN"/>
        </w:rPr>
        <w:t xml:space="preserve"> 规格型号：</w:t>
      </w:r>
      <w:r>
        <w:rPr>
          <w:rFonts w:hint="eastAsia" w:ascii="宋体" w:hAnsi="宋体" w:eastAsia="宋体" w:cs="宋体"/>
          <w:color w:val="000000"/>
          <w:szCs w:val="21"/>
          <w:u w:val="single"/>
          <w:lang w:val="en-US" w:eastAsia="zh-CN"/>
        </w:rPr>
        <w:t xml:space="preserve">        </w:t>
      </w:r>
      <w:r>
        <w:rPr>
          <w:rFonts w:hint="eastAsia" w:ascii="宋体" w:hAnsi="宋体" w:eastAsia="宋体"/>
          <w:iCs w:val="0"/>
          <w:color w:val="000000"/>
          <w:szCs w:val="21"/>
        </w:rPr>
        <w:t xml:space="preserve">      </w:t>
      </w:r>
      <w:r/>
    </w:p>
    <w:p>
      <w:pPr>
        <w:ind w:firstLine="840"/>
        <w:spacing w:before="0" w:line="400" w:lineRule="exact"/>
        <w:rPr>
          <w:rFonts w:hint="eastAsia" w:ascii="宋体" w:hAnsi="宋体"/>
          <w:color w:val="000000"/>
          <w:szCs w:val="21"/>
          <w:u w:val="none"/>
          <w:lang w:val="en-US" w:eastAsia="zh-CN"/>
        </w:rPr>
      </w:pPr>
      <w:r>
        <w:rPr>
          <w:rFonts w:hint="eastAsia" w:ascii="宋体" w:hAnsi="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（1</w:t>
      </w:r>
      <w:r>
        <w:rPr>
          <w:rFonts w:hint="default" w:ascii="宋体" w:hAnsi="宋体"/>
          <w:b w:val="0"/>
          <w:bCs w:val="0"/>
          <w:color w:val="000000"/>
          <w:sz w:val="21"/>
          <w:szCs w:val="21"/>
          <w:u w:val="none"/>
          <w:lang w:val="en" w:eastAsia="zh-CN"/>
        </w:rPr>
        <w:t xml:space="preserve">0</w:t>
      </w:r>
      <w:r>
        <w:rPr>
          <w:rFonts w:hint="eastAsia" w:ascii="宋体" w:hAnsi="宋体"/>
          <w:b w:val="0"/>
          <w:bCs w:val="0"/>
          <w:color w:val="000000"/>
          <w:sz w:val="21"/>
          <w:szCs w:val="21"/>
          <w:u w:val="none"/>
          <w:lang w:val="en-US" w:eastAsia="zh-CN"/>
        </w:rPr>
        <w:t xml:space="preserve">）</w:t>
      </w:r>
      <w:r>
        <w:rPr>
          <w:rFonts w:hint="eastAsia" w:ascii="宋体" w:hAnsi="宋体" w:eastAsia="宋体"/>
          <w:b w:val="0"/>
          <w:bCs w:val="0"/>
          <w:color w:val="000000"/>
          <w:sz w:val="21"/>
          <w:szCs w:val="21"/>
          <w:u w:val="none"/>
          <w:lang w:val="en-US" w:eastAsia="zh-CN"/>
        </w:rPr>
        <w:t xml:space="preserve">是否涉及节能产品：</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p>
    <w:p>
      <w:pPr>
        <w:numPr>
          <w:ilvl w:val="12"/>
          <w:numId w:val="0"/>
        </w:numPr>
        <w:ind w:firstLine="0"/>
        <w:spacing w:before="0" w:line="400" w:lineRule="exact"/>
        <w:tabs>
          <w:tab w:val="left" w:pos="740" w:leader="none"/>
        </w:tabs>
        <w:rPr>
          <w:rFonts w:hint="eastAsia" w:ascii="宋体" w:hAnsi="宋体"/>
          <w:iCs w:val="0"/>
          <w:color w:val="000000"/>
          <w:szCs w:val="21"/>
          <w:lang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b w:val="0"/>
          <w:bCs w:val="0"/>
          <w:color w:val="000000"/>
          <w:sz w:val="21"/>
          <w:szCs w:val="21"/>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numPr>
          <w:ilvl w:val="12"/>
          <w:numId w:val="0"/>
        </w:numPr>
        <w:ind w:firstLine="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eastAsia="华文楷体" w:cs="华文楷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t xml:space="preserve"> </w:t>
      </w:r>
      <w:r/>
    </w:p>
    <w:p>
      <w:pPr>
        <w:ind w:firstLine="420"/>
        <w:spacing w:line="400" w:lineRule="exact"/>
        <w:rPr>
          <w:rFonts w:hint="eastAsia" w:ascii="宋体" w:hAnsi="宋体" w:eastAsia="宋体" w:cs="华文楷体"/>
          <w:color w:val="000000"/>
          <w:sz w:val="22"/>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 xml:space="preserve">¨</w:t>
      </w:r>
      <w:r>
        <w:rPr>
          <w:rFonts w:hint="eastAsia" w:ascii="宋体" w:hAnsi="宋体" w:eastAsia="宋体" w:cs="Times New Roman"/>
          <w:iCs w:val="0"/>
          <w:color w:val="000000"/>
          <w:sz w:val="21"/>
          <w:szCs w:val="21"/>
          <w:u w:val="none"/>
          <w:lang w:eastAsia="zh-CN"/>
        </w:rPr>
        <w:t xml:space="preserve">是，绿色产品政府采购相关政策确定的底级品目名称：</w:t>
      </w:r>
      <w:r>
        <w:rPr>
          <w:rFonts w:hint="eastAsia" w:ascii="宋体" w:hAnsi="宋体" w:eastAsia="宋体" w:cs="华文楷体"/>
          <w:color w:val="000000"/>
          <w:sz w:val="22"/>
          <w:szCs w:val="21"/>
          <w:u w:val="single"/>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ind w:firstLine="420"/>
        <w:spacing w:line="400" w:lineRule="exact"/>
        <w:rPr>
          <w:rFonts w:hint="eastAsia" w:ascii="宋体" w:hAnsi="宋体" w:eastAsia="华文楷体" w:cs="华文楷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 xml:space="preserve">¨</w:t>
      </w:r>
      <w:r>
        <w:rPr>
          <w:rFonts w:hint="eastAsia" w:ascii="宋体" w:hAnsi="宋体" w:eastAsia="宋体" w:cs="Times New Roman"/>
          <w:iCs w:val="0"/>
          <w:color w:val="000000"/>
          <w:sz w:val="21"/>
          <w:szCs w:val="21"/>
          <w:u w:val="none"/>
          <w:lang w:eastAsia="zh-CN"/>
        </w:rPr>
        <w:t xml:space="preserve">否</w:t>
      </w:r>
      <w:r/>
    </w:p>
    <w:p>
      <w:pPr>
        <w:numPr>
          <w:ilvl w:val="12"/>
          <w:numId w:val="0"/>
        </w:numPr>
        <w:ind w:firstLine="0"/>
        <w:spacing w:before="0" w:line="400" w:lineRule="exact"/>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hint="default"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w:t>
      </w:r>
      <w:r>
        <w:rPr>
          <w:rFonts w:hint="eastAsia" w:ascii="宋体" w:hAnsi="宋体"/>
          <w:color w:val="000000"/>
          <w:szCs w:val="21"/>
          <w:lang w:eastAsia="zh-CN"/>
        </w:rPr>
        <w:t xml:space="preserve">》《</w:t>
      </w:r>
      <w:r>
        <w:rPr>
          <w:rFonts w:hint="eastAsia" w:ascii="宋体" w:hAnsi="宋体"/>
          <w:color w:val="000000"/>
          <w:szCs w:val="21"/>
        </w:rPr>
        <w:t xml:space="preserve">快递包装政府采购需求标准（试行）》</w:t>
      </w:r>
      <w:r>
        <w:rPr>
          <w:rFonts w:hint="eastAsia" w:ascii="宋体" w:hAnsi="宋体" w:eastAsia="宋体"/>
          <w:color w:val="000000"/>
          <w:szCs w:val="21"/>
          <w:lang w:eastAsia="zh-CN"/>
        </w:rPr>
        <w:t xml:space="preserve">明确产品及相关快递服务的具体包装要求：</w:t>
      </w:r>
      <w:r/>
    </w:p>
    <w:p>
      <w:pPr>
        <w:numPr>
          <w:ilvl w:val="12"/>
          <w:numId w:val="0"/>
        </w:numPr>
        <w:ind w:firstLine="840"/>
        <w:spacing w:before="0" w:line="400" w:lineRule="exact"/>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p>
    <w:p>
      <w:pPr>
        <w:numPr>
          <w:ilvl w:val="0"/>
          <w:numId w:val="39"/>
        </w:numPr>
        <w:ind w:firstLine="420"/>
        <w:spacing w:before="0"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bookmarkEnd w:id="34"/>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left="0" w:firstLine="0"/>
        <w:spacing w:before="0" w:line="400" w:lineRule="exact"/>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0"/>
        <w:spacing w:before="0"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分包金额</w:t>
      </w:r>
      <w:r>
        <w:rPr>
          <w:rFonts w:hint="eastAsia" w:ascii="宋体" w:hAnsi="宋体"/>
          <w:color w:val="auto"/>
          <w:szCs w:val="21"/>
          <w:highlight w:val="none"/>
          <w:lang w:eastAsia="zh-CN"/>
        </w:rPr>
        <w:t xml:space="preserve">（如有）</w:t>
      </w:r>
      <w:r>
        <w:rPr>
          <w:rFonts w:hint="eastAsia" w:ascii="宋体" w:hAnsi="宋体"/>
          <w:color w:val="auto"/>
          <w:szCs w:val="21"/>
          <w:highlight w:val="none"/>
        </w:rPr>
        <w:t xml:space="preserve">小写：</w:t>
      </w:r>
      <w:r>
        <w:rPr>
          <w:rFonts w:hint="eastAsia" w:ascii="宋体" w:hAnsi="宋体"/>
          <w:color w:val="auto"/>
          <w:szCs w:val="21"/>
          <w:highlight w:val="none"/>
          <w:u w:val="single"/>
        </w:rPr>
        <w:t xml:space="preserve">                   </w:t>
      </w:r>
      <w:r/>
    </w:p>
    <w:p>
      <w:pPr>
        <w:ind w:firstLine="0"/>
        <w:spacing w:before="0" w:line="400" w:lineRule="exact"/>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0"/>
        <w:spacing w:before="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（注：固定单价合同应填写单价和最高限价）</w:t>
      </w:r>
      <w:r/>
    </w:p>
    <w:p>
      <w:pPr>
        <w:numPr>
          <w:ilvl w:val="-1"/>
          <w:numId w:val="0"/>
        </w:numPr>
        <w:ind w:firstLine="0"/>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合同定价方式</w:t>
      </w:r>
      <w:r>
        <w:rPr>
          <w:rFonts w:hint="eastAsia" w:ascii="宋体" w:hAnsi="宋体"/>
          <w:color w:val="auto"/>
          <w:szCs w:val="21"/>
          <w:highlight w:val="none"/>
          <w:lang w:eastAsia="zh-CN"/>
        </w:rPr>
        <w:t xml:space="preserve">（采用组合定价方式的，可以勾选多项）</w:t>
      </w:r>
      <w:r>
        <w:rPr>
          <w:rFonts w:hint="eastAsia" w:ascii="宋体" w:hAnsi="宋体"/>
          <w:color w:val="auto"/>
          <w:szCs w:val="21"/>
          <w:highlight w:val="none"/>
        </w:rPr>
        <w:t xml:space="preserve">：</w:t>
      </w:r>
      <w:r/>
    </w:p>
    <w:p>
      <w:pPr>
        <w:ind w:firstLine="420"/>
        <w:spacing w:before="0" w:line="400" w:lineRule="exact"/>
        <w:rPr>
          <w:rFonts w:hint="eastAsia" w:ascii="宋体" w:hAnsi="宋体" w:eastAsia="宋体"/>
          <w:color w:val="auto"/>
          <w:szCs w:val="21"/>
          <w:highlight w:val="none"/>
          <w:lang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固定费率</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rFonts w:hint="eastAsia" w:ascii="宋体" w:hAnsi="宋体"/>
          <w:color w:val="auto"/>
          <w:szCs w:val="21"/>
          <w:highlight w:val="none"/>
          <w:u w:val="single"/>
        </w:rPr>
        <w:t xml:space="preserve">       </w:t>
      </w:r>
      <w:r/>
    </w:p>
    <w:p>
      <w:pPr>
        <w:pStyle w:val="1144"/>
        <w:spacing w:line="400" w:lineRule="exact"/>
        <w:rPr>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）付款方式（按项目实际勾选填写）：</w:t>
      </w:r>
      <w:r/>
    </w:p>
    <w:p>
      <w:pPr>
        <w:ind w:firstLine="630"/>
        <w:spacing w:before="0"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w:t>
      </w:r>
      <w:r>
        <w:rPr>
          <w:rFonts w:hint="eastAsia" w:ascii="宋体" w:hAnsi="宋体"/>
          <w:color w:val="auto"/>
          <w:szCs w:val="21"/>
          <w:highlight w:val="none"/>
          <w:u w:val="single"/>
          <w:lang w:eastAsia="zh-CN"/>
        </w:rPr>
        <w:t xml:space="preserve">明确</w:t>
      </w:r>
      <w:r>
        <w:rPr>
          <w:rFonts w:hint="eastAsia" w:ascii="宋体" w:hAnsi="宋体"/>
          <w:color w:val="auto"/>
          <w:szCs w:val="21"/>
          <w:highlight w:val="none"/>
          <w:u w:val="single"/>
        </w:rPr>
        <w:t xml:space="preserve">一次性支付合同款项</w:t>
      </w:r>
      <w:r>
        <w:rPr>
          <w:rFonts w:hint="eastAsia" w:ascii="宋体" w:hAnsi="宋体"/>
          <w:color w:val="auto"/>
          <w:szCs w:val="21"/>
          <w:highlight w:val="none"/>
          <w:u w:val="single"/>
          <w:lang w:eastAsia="zh-CN"/>
        </w:rPr>
        <w:t xml:space="preserve">的条件</w:t>
      </w:r>
      <w:r>
        <w:rPr>
          <w:rFonts w:hint="eastAsia" w:ascii="宋体" w:hAnsi="宋体"/>
          <w:color w:val="auto"/>
          <w:szCs w:val="21"/>
          <w:highlight w:val="none"/>
          <w:u w:val="single"/>
        </w:rPr>
        <w:t xml:space="preserve">）                    </w:t>
      </w:r>
      <w:r/>
    </w:p>
    <w:p>
      <w:pPr>
        <w:ind w:firstLine="630"/>
        <w:spacing w:line="400" w:lineRule="exact"/>
        <w:rPr>
          <w:rFonts w:hint="eastAsia" w:ascii="宋体" w:hAnsi="宋体"/>
          <w:color w:val="auto"/>
          <w:szCs w:val="21"/>
          <w:highlight w:val="none"/>
          <w:u w:val="single"/>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6-1-2-1模式：项目进度款支付比例原则为实际完成</w:t>
      </w:r>
      <w:r>
        <w:rPr>
          <w:rFonts w:hint="eastAsia" w:ascii="宋体" w:hAnsi="宋体"/>
          <w:color w:val="auto"/>
          <w:szCs w:val="21"/>
          <w:highlight w:val="none"/>
          <w:u w:val="single"/>
          <w:lang w:val="en-US" w:eastAsia="zh-CN"/>
        </w:rPr>
        <w:t xml:space="preserve">工作</w:t>
      </w:r>
      <w:r>
        <w:rPr>
          <w:rFonts w:hint="eastAsia" w:ascii="宋体" w:hAnsi="宋体"/>
          <w:color w:val="auto"/>
          <w:szCs w:val="21"/>
          <w:highlight w:val="none"/>
          <w:u w:val="single"/>
        </w:rPr>
        <w:t xml:space="preserve">量的60%(进度款累计金额达到合同总价的55%时暂停支付），</w:t>
      </w:r>
      <w:r>
        <w:rPr>
          <w:rFonts w:hint="eastAsia" w:ascii="宋体" w:hAnsi="宋体"/>
          <w:color w:val="auto"/>
          <w:szCs w:val="21"/>
          <w:highlight w:val="none"/>
          <w:u w:val="single"/>
          <w:lang w:val="en-US" w:eastAsia="zh-CN"/>
        </w:rPr>
        <w:t xml:space="preserve">项目</w:t>
      </w:r>
      <w:r>
        <w:rPr>
          <w:rFonts w:hint="eastAsia" w:ascii="宋体" w:hAnsi="宋体"/>
          <w:color w:val="auto"/>
          <w:szCs w:val="21"/>
          <w:highlight w:val="none"/>
          <w:u w:val="single"/>
        </w:rPr>
        <w:t xml:space="preserve">完工后，最多支付至单项合同价的60%；审计结束支付至审定价的70%；审计结束满一年支付至审定价的90%；审计结束满两年，支付至审定价的97%，</w:t>
      </w:r>
      <w:r>
        <w:rPr>
          <w:rFonts w:hint="eastAsia" w:ascii="宋体" w:hAnsi="宋体"/>
          <w:color w:val="auto"/>
          <w:szCs w:val="21"/>
          <w:highlight w:val="none"/>
          <w:u w:val="single"/>
          <w:lang w:eastAsia="zh-CN"/>
        </w:rPr>
        <w:t xml:space="preserve">货物保修期满经项目使用单位确认保修质量和保修效果后，结清全部货物余款</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 xml:space="preserve">其中涉及预付款的</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预付款支付比例或金额：合同金额的10%。</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预付款支付期限：供方签订了合同协议书并提交了预付款保函或保证金后，需方支付预付款。</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预付款扣回的方式：在供方完成金额累计达到</w:t>
      </w:r>
      <w:r>
        <w:rPr>
          <w:rFonts w:hint="eastAsia" w:ascii="宋体" w:hAnsi="宋体"/>
          <w:color w:val="auto"/>
          <w:szCs w:val="21"/>
          <w:highlight w:val="none"/>
          <w:u w:val="single"/>
          <w:lang w:val="en-US" w:eastAsia="zh-CN"/>
        </w:rPr>
        <w:t xml:space="preserve">合同总价</w:t>
      </w:r>
      <w:r>
        <w:rPr>
          <w:rFonts w:hint="eastAsia" w:ascii="宋体" w:hAnsi="宋体"/>
          <w:color w:val="auto"/>
          <w:szCs w:val="21"/>
          <w:highlight w:val="none"/>
          <w:u w:val="single"/>
        </w:rPr>
        <w:t xml:space="preserve">的 20%、30%、40%、50%时，由供方按照每次扣回预付款金额的25%开始向需方还款；需方从每次应付给供方的金额中扣回项目预付款，需方至少在供方完成金额累计达到</w:t>
      </w:r>
      <w:r>
        <w:rPr>
          <w:rFonts w:hint="eastAsia" w:ascii="宋体" w:hAnsi="宋体"/>
          <w:color w:val="auto"/>
          <w:szCs w:val="21"/>
          <w:highlight w:val="none"/>
          <w:u w:val="single"/>
          <w:lang w:val="en-US" w:eastAsia="zh-CN"/>
        </w:rPr>
        <w:t xml:space="preserve">合同总价</w:t>
      </w:r>
      <w:r>
        <w:rPr>
          <w:rFonts w:hint="eastAsia" w:ascii="宋体" w:hAnsi="宋体"/>
          <w:color w:val="auto"/>
          <w:szCs w:val="21"/>
          <w:highlight w:val="none"/>
          <w:u w:val="single"/>
        </w:rPr>
        <w:t xml:space="preserve">的50%前将项目预付款的总计金额逐次分摊的办法扣回。项目完工，预付款需全部扣完。</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预付款担保：供方提交预付款担保的期限：在具备采购条件的前提下，</w:t>
      </w:r>
      <w:r>
        <w:rPr>
          <w:rFonts w:hint="eastAsia" w:ascii="宋体" w:hAnsi="宋体"/>
          <w:color w:val="auto"/>
          <w:szCs w:val="21"/>
          <w:highlight w:val="none"/>
          <w:u w:val="single"/>
          <w:lang w:val="en-US" w:eastAsia="zh-CN"/>
        </w:rPr>
        <w:t xml:space="preserve">供方应在发包人支付预付款7天前提供预付款担保</w:t>
      </w:r>
      <w:r>
        <w:rPr>
          <w:rFonts w:hint="eastAsia" w:ascii="宋体" w:hAnsi="宋体"/>
          <w:color w:val="auto"/>
          <w:szCs w:val="21"/>
          <w:highlight w:val="none"/>
          <w:u w:val="single"/>
        </w:rPr>
        <w:t xml:space="preserve">。</w:t>
      </w:r>
      <w:r/>
    </w:p>
    <w:p>
      <w:pPr>
        <w:ind w:firstLine="630"/>
        <w:spacing w:line="400" w:lineRule="exact"/>
        <w:rPr>
          <w:color w:val="auto"/>
          <w:highlight w:val="none"/>
        </w:rPr>
      </w:pPr>
      <w:r>
        <w:rPr>
          <w:rFonts w:hint="eastAsia" w:ascii="宋体" w:hAnsi="宋体"/>
          <w:color w:val="auto"/>
          <w:szCs w:val="21"/>
          <w:highlight w:val="none"/>
          <w:u w:val="single"/>
        </w:rPr>
        <w:t xml:space="preserve">预付款担保的形式为：①银行保函②保证金③担保机构保函或保险机构保单，保函（保单）的格式应符合招标文件的规定或是招标人批准同意的格式，保函（保单）有效期自本合同生效之日起至合同约定的项目完工并验收之日起30日内，担保机构或保险机构应为国有融资性担保公司。 </w:t>
      </w:r>
      <w:r/>
    </w:p>
    <w:p>
      <w:pPr>
        <w:ind w:firstLine="630"/>
        <w:spacing w:before="0"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before="0"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41"/>
        </w:numPr>
        <w:ind w:firstLine="420"/>
        <w:spacing w:before="0" w:line="400" w:lineRule="exact"/>
        <w:rPr>
          <w:rFonts w:ascii="宋体" w:hAnsi="宋体"/>
          <w:b/>
          <w:bCs w:val="0"/>
          <w:color w:val="auto"/>
          <w:szCs w:val="21"/>
          <w:highlight w:val="none"/>
          <w:u w:val="single"/>
        </w:rPr>
      </w:pPr>
      <w:r>
        <w:rPr>
          <w:rFonts w:hint="eastAsia" w:ascii="宋体" w:hAnsi="宋体"/>
          <w:b/>
          <w:bCs w:val="0"/>
          <w:color w:val="auto"/>
          <w:szCs w:val="21"/>
          <w:highlight w:val="none"/>
        </w:rPr>
        <w:t xml:space="preserve">合同履行</w:t>
      </w:r>
      <w:r/>
    </w:p>
    <w:p>
      <w:pPr>
        <w:ind w:firstLine="420"/>
        <w:spacing w:before="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before="0"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履约</w:t>
      </w:r>
      <w:r>
        <w:rPr>
          <w:rFonts w:hint="eastAsia" w:ascii="宋体" w:hAnsi="宋体" w:cs="宋体"/>
          <w:color w:val="auto"/>
          <w:szCs w:val="21"/>
          <w:highlight w:val="none"/>
        </w:rPr>
        <w:t xml:space="preserve">地点</w:t>
      </w:r>
      <w:r>
        <w:rPr>
          <w:rFonts w:hint="eastAsia" w:ascii="宋体" w:hAnsi="宋体" w:cs="宋体"/>
          <w:b w:val="0"/>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before="0" w:line="400" w:lineRule="exact"/>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166"/>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等线" w:cs="宋体"/>
          <w:bCs/>
          <w:color w:val="000000"/>
          <w:sz w:val="21"/>
          <w:szCs w:val="21"/>
          <w:highlight w:val="none"/>
          <w:u w:val="single"/>
          <w:lang w:val="en-US" w:eastAsia="zh-CN" w:bidi="ar-SA"/>
        </w:rPr>
        <w:t xml:space="preserve">以支票、汇票、本票、保函等非现金形式缴纳或提交；</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pStyle w:val="1166"/>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合同价款的10%。</w:t>
      </w:r>
      <w:r>
        <w:rPr>
          <w:rFonts w:hint="eastAsia" w:ascii="宋体" w:hAnsi="宋体" w:eastAsia="宋体" w:cs="宋体"/>
          <w:bCs/>
          <w:color w:val="auto"/>
          <w:sz w:val="21"/>
          <w:szCs w:val="21"/>
          <w:highlight w:val="none"/>
          <w:u w:val="single"/>
        </w:rPr>
        <w:t xml:space="preserve">                      </w:t>
      </w:r>
      <w:r/>
    </w:p>
    <w:p>
      <w:pPr>
        <w:ind w:firstLine="420"/>
        <w:spacing w:line="400" w:lineRule="exact"/>
        <w:rPr>
          <w:rFonts w:hint="eastAsia" w:ascii="宋体" w:hAnsi="宋体" w:eastAsia="宋体" w:cs="宋体"/>
          <w:bCs/>
          <w:color w:val="auto"/>
          <w:sz w:val="21"/>
          <w:szCs w:val="21"/>
          <w:highlight w:val="none"/>
          <w:u w:val="single"/>
        </w:rPr>
      </w:pPr>
      <w:r>
        <w:rPr>
          <w:rFonts w:hint="eastAsia" w:ascii="宋体" w:hAnsi="宋体" w:cs="宋体"/>
          <w:bCs/>
          <w:color w:val="auto"/>
          <w:szCs w:val="21"/>
          <w:highlight w:val="none"/>
          <w:u w:val="none"/>
          <w:lang w:val="en-US" w:eastAsia="zh-CN"/>
        </w:rPr>
        <w:t xml:space="preserve">    履约担保期限</w:t>
      </w:r>
      <w:r>
        <w:rPr>
          <w:rFonts w:hint="eastAsia" w:ascii="宋体" w:hAnsi="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ascii="宋体" w:hAnsi="宋体" w:eastAsia="等线" w:cs="Times New Roman"/>
          <w:sz w:val="21"/>
          <w:szCs w:val="21"/>
          <w:u w:val="single"/>
          <w:lang w:val="en-US" w:eastAsia="zh-CN" w:bidi="ar-SA"/>
        </w:rPr>
        <w:t xml:space="preserve">①合同价款的10％的银行履约保函，保函有效期应至项目完工并验收合格之日止。</w:t>
      </w:r>
      <w:r>
        <w:rPr>
          <w:rFonts w:hint="default" w:ascii="宋体" w:hAnsi="宋体" w:eastAsia="等线" w:cs="Times New Roman"/>
          <w:sz w:val="21"/>
          <w:szCs w:val="21"/>
          <w:u w:val="single"/>
          <w:lang w:val="en-US" w:eastAsia="zh-CN" w:bidi="ar-SA"/>
        </w:rPr>
        <w:t xml:space="preserve">②</w:t>
      </w:r>
      <w:r>
        <w:rPr>
          <w:rFonts w:ascii="宋体" w:hAnsi="宋体" w:eastAsia="等线" w:cs="Times New Roman"/>
          <w:sz w:val="21"/>
          <w:szCs w:val="21"/>
          <w:u w:val="single"/>
          <w:lang w:val="en-US" w:eastAsia="zh-CN" w:bidi="ar-SA"/>
        </w:rPr>
        <w:t xml:space="preserve">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u w:val="single"/>
          <w:lang w:val="en-US" w:eastAsia="zh-CN" w:bidi="ar-SA"/>
        </w:rPr>
        <w:t xml:space="preserve">，</w:t>
      </w:r>
      <w:r>
        <w:rPr>
          <w:rFonts w:ascii="宋体" w:hAnsi="宋体" w:eastAsia="等线" w:cs="Times New Roman"/>
          <w:sz w:val="21"/>
          <w:szCs w:val="21"/>
          <w:u w:val="single"/>
          <w:lang w:val="en-US" w:eastAsia="zh-CN" w:bidi="ar-SA"/>
        </w:rPr>
        <w:t xml:space="preserve">担保机构或保险机构应为国有融资性担保公司。</w:t>
      </w:r>
      <w:r>
        <w:rPr>
          <w:rFonts w:hint="eastAsia" w:ascii="宋体" w:hAnsi="宋体" w:eastAsia="宋体" w:cs="宋体"/>
          <w:bCs/>
          <w:color w:val="auto"/>
          <w:sz w:val="21"/>
          <w:szCs w:val="21"/>
          <w:highlight w:val="none"/>
          <w:u w:val="single"/>
        </w:rPr>
        <w:t xml:space="preserve">  </w:t>
      </w:r>
      <w:r/>
    </w:p>
    <w:p>
      <w:pPr>
        <w:pStyle w:val="1166"/>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履约保证金的缴纳时间：</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乙方原则上应于合同签订时向甲方提交履约担保，如因不可归责于乙方的原因，导致其无法在上述时间内提交履约担保的，乙方应向甲方提交书面说明及相关证明文件，并申请延期。是否同意延期及延长的期限，由甲方根据具体情况自主决定，并通知乙方 。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166"/>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退付办法：</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与供方提交履约保证金的方式相同。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166"/>
        <w:ind w:left="3360" w:hanging="2730"/>
        <w:rPr>
          <w:rFonts w:hint="default" w:ascii="宋体" w:hAnsi="宋体" w:eastAsia="等线" w:cs="宋体"/>
          <w:bCs/>
          <w:color w:val="000000" w:themeColor="text1"/>
          <w:sz w:val="21"/>
          <w:szCs w:val="21"/>
          <w:u w:val="single"/>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履约保证金不予退还的情形：</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①由于中标方的原因不能履约的，②在履行合同期间发生重大安全事故，给采购人造成不良影响和严重经济损失的。 </w:t>
      </w:r>
      <w:r/>
    </w:p>
    <w:p>
      <w:pPr>
        <w:ind w:firstLine="63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逾期退还履约保证金的违约责任：</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承担履约保证金金额千分之二/天的违约金。</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before="0"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p>
    <w:p>
      <w:pPr>
        <w:ind w:firstLine="420"/>
        <w:spacing w:before="0"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eastAsia="zh-CN"/>
        </w:rPr>
        <w:t xml:space="preserve">风险处置措施和替代方案</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numPr>
          <w:ilvl w:val="0"/>
          <w:numId w:val="41"/>
        </w:numPr>
        <w:ind w:firstLine="420"/>
        <w:spacing w:before="0"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42"/>
        </w:numPr>
        <w:ind w:firstLine="420"/>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委托第三方组织</w:t>
      </w:r>
      <w:r/>
    </w:p>
    <w:p>
      <w:pPr>
        <w:numPr>
          <w:ilvl w:val="0"/>
          <w:numId w:val="0"/>
        </w:numPr>
        <w:spacing w:before="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p>
    <w:p>
      <w:pPr>
        <w:ind w:firstLine="0"/>
        <w:spacing w:before="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是否邀请本项目的其他供应商</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p>
    <w:p>
      <w:pPr>
        <w:ind w:firstLine="84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rPr>
          <w:rFonts w:hint="eastAsia" w:ascii="宋体" w:hAnsi="宋体"/>
          <w:bCs/>
          <w:color w:val="auto"/>
          <w:szCs w:val="21"/>
          <w:highlight w:val="none"/>
        </w:rPr>
      </w:pPr>
      <w:r>
        <w:rPr>
          <w:rFonts w:hint="eastAsia" w:ascii="宋体" w:hAnsi="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lang w:eastAsia="zh-CN"/>
        </w:rPr>
        <w:t xml:space="preserve">，抽查比例：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rPr>
          <w:rFonts w:hint="eastAsia" w:ascii="宋体" w:hAnsi="宋体" w:eastAsia="宋体"/>
          <w:bCs/>
          <w:color w:val="auto"/>
          <w:szCs w:val="21"/>
          <w:highlight w:val="none"/>
          <w:u w:val="single"/>
          <w:lang w:eastAsia="zh-CN"/>
        </w:rPr>
      </w:pPr>
      <w:r>
        <w:rPr>
          <w:rFonts w:hint="eastAsia" w:ascii="宋体" w:hAnsi="宋体" w:eastAsia="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是</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u w:val="single"/>
          <w:lang w:eastAsia="zh-CN"/>
        </w:rPr>
        <w:t xml:space="preserve">（应明确对被破坏的检测产品的处理方式）</w:t>
      </w:r>
      <w:r/>
    </w:p>
    <w:p>
      <w:pPr>
        <w:ind w:firstLine="840"/>
        <w:spacing w:before="0" w:line="400" w:lineRule="exact"/>
        <w:rPr>
          <w:rFonts w:hint="eastAsia" w:ascii="宋体" w:hAnsi="宋体" w:eastAsia="宋体"/>
          <w:bCs/>
          <w:color w:val="auto"/>
          <w:szCs w:val="21"/>
          <w:highlight w:val="none"/>
          <w:lang w:eastAsia="zh-CN"/>
        </w:rPr>
      </w:pPr>
      <w:r>
        <w:rPr>
          <w:rFonts w:hint="eastAsia" w:ascii="宋体" w:hAnsi="宋体" w:eastAsia="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þ</w:t>
      </w:r>
      <w:r>
        <w:rPr>
          <w:rFonts w:hint="eastAsia" w:ascii="宋体" w:hAnsi="宋体" w:eastAsia="宋体"/>
          <w:bCs/>
          <w:color w:val="auto"/>
          <w:szCs w:val="21"/>
          <w:highlight w:val="none"/>
        </w:rPr>
        <w:t xml:space="preserve">否</w:t>
      </w:r>
      <w:r/>
    </w:p>
    <w:p>
      <w:pPr>
        <w:ind w:firstLine="840"/>
        <w:spacing w:before="0"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before="0"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（供应商提出验收申请之日起</w:t>
      </w:r>
      <w:r>
        <w:rPr>
          <w:rFonts w:hint="eastAsia" w:ascii="宋体" w:hAnsi="宋体"/>
          <w:bCs/>
          <w:color w:val="auto"/>
          <w:szCs w:val="21"/>
          <w:highlight w:val="none"/>
          <w:u w:val="single"/>
          <w:lang w:val="en-US" w:eastAsia="zh-CN"/>
        </w:rPr>
        <w:t xml:space="preserve">30</w:t>
      </w:r>
      <w:r>
        <w:rPr>
          <w:rFonts w:hint="eastAsia" w:ascii="宋体" w:hAnsi="宋体"/>
          <w:bCs/>
          <w:color w:val="auto"/>
          <w:szCs w:val="21"/>
          <w:highlight w:val="none"/>
          <w:u w:val="single"/>
        </w:rPr>
        <w:t xml:space="preserve">日内组织验收）</w:t>
      </w:r>
      <w:r>
        <w:rPr>
          <w:rFonts w:hint="eastAsia" w:ascii="宋体" w:hAnsi="宋体"/>
          <w:bCs/>
          <w:color w:val="auto"/>
          <w:szCs w:val="21"/>
          <w:highlight w:val="none"/>
          <w:u w:val="single"/>
          <w:lang w:val="en-US" w:eastAsia="zh-CN"/>
        </w:rPr>
        <w:t xml:space="preserve"> </w:t>
      </w:r>
      <w:r/>
    </w:p>
    <w:p>
      <w:pPr>
        <w:ind w:firstLine="420"/>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一次性验收         </w:t>
      </w:r>
      <w:r/>
    </w:p>
    <w:p>
      <w:pPr>
        <w:ind w:firstLine="0"/>
        <w:spacing w:before="0" w:line="400" w:lineRule="exact"/>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（应明确分期</w:t>
      </w:r>
      <w:r>
        <w:rPr>
          <w:rFonts w:hint="default" w:ascii="宋体" w:hAnsi="宋体"/>
          <w:bCs/>
          <w:color w:val="auto"/>
          <w:szCs w:val="21"/>
          <w:highlight w:val="none"/>
          <w:u w:val="single"/>
          <w:lang w:val="en" w:eastAsia="zh-CN"/>
        </w:rPr>
        <w:t xml:space="preserve">/</w:t>
      </w:r>
      <w:r>
        <w:rPr>
          <w:rFonts w:hint="eastAsia" w:ascii="宋体" w:hAnsi="宋体"/>
          <w:bCs/>
          <w:color w:val="auto"/>
          <w:szCs w:val="21"/>
          <w:highlight w:val="none"/>
          <w:u w:val="single"/>
          <w:lang w:val="en" w:eastAsia="zh-CN"/>
        </w:rPr>
        <w:t xml:space="preserve">分项验收的工作安排</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p>
    <w:p>
      <w:pPr>
        <w:ind w:firstLine="42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w:t>
      </w:r>
      <w:r>
        <w:rPr>
          <w:rFonts w:hint="eastAsia" w:ascii="宋体" w:hAnsi="宋体"/>
          <w:bCs/>
          <w:color w:val="auto"/>
          <w:szCs w:val="21"/>
          <w:highlight w:val="none"/>
          <w:u w:val="single"/>
        </w:rPr>
        <w:t xml:space="preserve">                                 </w:t>
      </w:r>
      <w:r/>
    </w:p>
    <w:p>
      <w:pPr>
        <w:ind w:firstLine="420"/>
        <w:spacing w:before="0"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详见专用条款</w:t>
      </w:r>
      <w:r>
        <w:rPr>
          <w:rFonts w:hint="eastAsia" w:ascii="宋体" w:hAnsi="宋体"/>
          <w:bCs/>
          <w:color w:val="auto"/>
          <w:szCs w:val="21"/>
          <w:highlight w:val="none"/>
          <w:u w:val="single"/>
        </w:rPr>
        <w:t xml:space="preserve">                                   </w:t>
      </w:r>
      <w:r/>
    </w:p>
    <w:p>
      <w:pPr>
        <w:ind w:firstLine="420"/>
        <w:spacing w:before="0"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合格</w:t>
      </w:r>
      <w:r>
        <w:rPr>
          <w:rFonts w:hint="eastAsia" w:ascii="宋体" w:hAnsi="宋体"/>
          <w:bCs/>
          <w:color w:val="auto"/>
          <w:szCs w:val="21"/>
          <w:highlight w:val="none"/>
          <w:u w:val="single"/>
        </w:rPr>
        <w:t xml:space="preserve">                                  </w:t>
      </w:r>
      <w:r/>
    </w:p>
    <w:p>
      <w:pPr>
        <w:pStyle w:val="1166"/>
        <w:rPr>
          <w:rFonts w:hint="eastAsia" w:ascii="宋体" w:hAnsi="宋体" w:eastAsia="宋体" w:cs="宋体"/>
          <w:color w:val="auto"/>
          <w:sz w:val="21"/>
          <w:highlight w:val="none"/>
          <w:lang w:eastAsia="zh-CN"/>
        </w:rPr>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spacing w:before="0"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w:t>
      </w:r>
      <w:r>
        <w:rPr>
          <w:rFonts w:hint="eastAsia" w:ascii="宋体" w:hAnsi="宋体" w:cs="宋体"/>
          <w:bCs/>
          <w:color w:val="auto"/>
          <w:szCs w:val="21"/>
          <w:highlight w:val="none"/>
          <w:u w:val="single"/>
        </w:rPr>
        <w:t xml:space="preserve">        </w:t>
      </w:r>
      <w:r/>
    </w:p>
    <w:p>
      <w:pPr>
        <w:numPr>
          <w:ilvl w:val="0"/>
          <w:numId w:val="41"/>
        </w:numPr>
        <w:ind w:firstLine="420"/>
        <w:spacing w:before="0"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）政府采购合同专用条款</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）政府采购合同通用条款</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）投标（响应）文件</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1166"/>
        <w:rPr>
          <w:rFonts w:hint="eastAsia" w:ascii="宋体" w:hAnsi="宋体" w:eastAsia="宋体" w:cs="宋体"/>
          <w:color w:val="auto"/>
          <w:sz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41"/>
        </w:numPr>
        <w:ind w:firstLine="420"/>
        <w:spacing w:before="0"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lang w:val="en-US" w:eastAsia="zh-CN"/>
        </w:rPr>
        <w:t xml:space="preserve">双方签字盖章后</w:t>
      </w:r>
      <w:r>
        <w:rPr>
          <w:rFonts w:hint="eastAsia" w:ascii="宋体" w:hAnsi="宋体"/>
          <w:color w:val="auto"/>
          <w:szCs w:val="21"/>
          <w:highlight w:val="none"/>
        </w:rPr>
        <w:t xml:space="preserve">生效。</w:t>
      </w:r>
      <w:r/>
    </w:p>
    <w:p>
      <w:pPr>
        <w:numPr>
          <w:ilvl w:val="0"/>
          <w:numId w:val="41"/>
        </w:numPr>
        <w:ind w:firstLine="420"/>
        <w:spacing w:before="0"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执</w:t>
      </w:r>
      <w:r>
        <w:rPr>
          <w:rFonts w:hint="eastAsia" w:ascii="宋体" w:hAnsi="宋体"/>
          <w:color w:val="auto"/>
          <w:szCs w:val="21"/>
          <w:highlight w:val="none"/>
          <w:u w:val="single"/>
          <w:lang w:val="en-US" w:eastAsia="zh-CN"/>
        </w:rPr>
        <w:t xml:space="preserve">陆</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乙方</w:t>
      </w:r>
      <w:r>
        <w:rPr>
          <w:rFonts w:hint="eastAsia" w:ascii="宋体" w:hAnsi="宋体"/>
          <w:color w:val="auto"/>
          <w:szCs w:val="21"/>
          <w:highlight w:val="none"/>
        </w:rPr>
        <w:t xml:space="preserve">执</w:t>
      </w:r>
      <w:r>
        <w:rPr>
          <w:rFonts w:hint="eastAsia" w:ascii="宋体" w:hAnsi="宋体"/>
          <w:color w:val="auto"/>
          <w:szCs w:val="21"/>
          <w:highlight w:val="none"/>
          <w:u w:val="single"/>
          <w:lang w:val="en-US" w:eastAsia="zh-CN"/>
        </w:rPr>
        <w:t xml:space="preserve">贰</w:t>
      </w:r>
      <w:r>
        <w:rPr>
          <w:rFonts w:hint="eastAsia" w:ascii="宋体" w:hAnsi="宋体"/>
          <w:color w:val="auto"/>
          <w:szCs w:val="21"/>
          <w:highlight w:val="none"/>
        </w:rPr>
        <w:t xml:space="preserve">份，均具有同等法律效力。</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before="0" w:line="400" w:lineRule="exact"/>
        <w:rPr>
          <w:color w:val="auto"/>
          <w:highlight w:val="none"/>
        </w:rPr>
      </w:pPr>
      <w:r>
        <w:rPr>
          <w:rFonts w:hint="eastAsia" w:ascii="宋体" w:hAnsi="宋体"/>
          <w:color w:val="auto"/>
          <w:szCs w:val="21"/>
          <w:highlight w:val="none"/>
        </w:rPr>
        <w:t xml:space="preserve">附件：具体标</w:t>
      </w:r>
      <w:r>
        <w:rPr>
          <w:rFonts w:hint="eastAsia" w:ascii="宋体" w:hAnsi="宋体"/>
          <w:color w:val="auto"/>
          <w:szCs w:val="21"/>
          <w:highlight w:val="none"/>
          <w:lang w:eastAsia="zh-CN"/>
        </w:rPr>
        <w:t xml:space="preserve">的及其</w:t>
      </w:r>
      <w:r>
        <w:rPr>
          <w:rFonts w:hint="eastAsia" w:ascii="宋体" w:hAnsi="宋体"/>
          <w:color w:val="auto"/>
          <w:szCs w:val="21"/>
          <w:highlight w:val="none"/>
          <w:u w:val="none"/>
          <w:lang w:val="en-US" w:eastAsia="zh-CN"/>
        </w:rPr>
        <w:t xml:space="preserve">技术要求和商务要求</w:t>
      </w:r>
      <w:r>
        <w:rPr>
          <w:rFonts w:hint="eastAsia" w:ascii="宋体" w:hAnsi="宋体"/>
          <w:color w:val="auto"/>
          <w:szCs w:val="21"/>
          <w:highlight w:val="none"/>
        </w:rPr>
        <w:t xml:space="preserve">、联合协议、分包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协议等。</w:t>
      </w:r>
      <w:r/>
    </w:p>
    <w:p>
      <w:pPr>
        <w:pStyle w:val="1144"/>
        <w:spacing w:line="400" w:lineRule="exact"/>
        <w:rPr>
          <w:color w:val="auto"/>
          <w:highlight w:val="none"/>
        </w:rPr>
      </w:pPr>
      <w:r>
        <w:rPr>
          <w:color w:val="auto"/>
          <w:highlight w:val="none"/>
        </w:rPr>
      </w:r>
      <w:r/>
    </w:p>
    <w:p>
      <w:pPr>
        <w:spacing w:line="400" w:lineRule="exact"/>
        <w:rPr>
          <w:rFonts w:hint="eastAsia" w:ascii="宋体" w:hAnsi="宋体" w:cs="Times New Roman"/>
          <w:b w:val="0"/>
          <w:bCs w:val="0"/>
          <w:color w:val="auto"/>
          <w:sz w:val="21"/>
          <w:szCs w:val="21"/>
          <w:highlight w:val="none"/>
          <w:lang w:val="en-US" w:eastAsia="zh-CN"/>
        </w:rPr>
        <w:outlineLvl w:val="9"/>
      </w:pPr>
      <w:r>
        <w:rPr>
          <w:rFonts w:hint="default"/>
          <w:color w:val="auto"/>
          <w:highlight w:val="none"/>
          <w:lang w:val="en"/>
        </w:rPr>
        <w:t xml:space="preserve">   </w:t>
      </w:r>
      <w:r/>
    </w:p>
    <w:p>
      <w:pPr>
        <w:rPr>
          <w:rFonts w:hint="eastAsia"/>
          <w:color w:val="auto"/>
          <w:highlight w:val="none"/>
        </w:rPr>
      </w:pPr>
      <w:r>
        <w:rPr>
          <w:rFonts w:hint="eastAsia"/>
          <w:color w:val="auto"/>
          <w:highlight w:val="none"/>
        </w:rPr>
        <w:br w:type="page" w:clear="all"/>
      </w:r>
      <w:r/>
    </w:p>
    <w:p>
      <w:pPr>
        <w:pStyle w:val="1144"/>
        <w:rPr>
          <w:rFonts w:hint="eastAsia"/>
          <w:color w:val="auto"/>
          <w:highlight w:val="none"/>
        </w:rPr>
      </w:pPr>
      <w:r>
        <w:rPr>
          <w:rFonts w:hint="eastAsia"/>
          <w:color w:val="auto"/>
          <w:highlight w:val="none"/>
        </w:rPr>
      </w:r>
      <w:r/>
    </w:p>
    <w:tbl>
      <w:tblPr>
        <w:tblStyle w:val="110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2"/>
        <w:gridCol w:w="2821"/>
        <w:gridCol w:w="2314"/>
        <w:gridCol w:w="2475"/>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left"/>
              <w:keepLines w:val="0"/>
              <w:keepNext w:val="0"/>
              <w:spacing w:before="0" w:beforeAutospacing="0" w:after="0" w:afterAutospacing="0" w:line="300" w:lineRule="exact"/>
              <w:rPr>
                <w:color w:val="auto"/>
                <w:highlight w:val="none"/>
              </w:rPr>
              <w:suppressLineNumbers w:val="0"/>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lang w:eastAsia="zh-CN"/>
              </w:rPr>
              <w:t xml:space="preserve">、受采购人委托签订合同的单位</w:t>
            </w:r>
            <w:r>
              <w:rPr>
                <w:rFonts w:hint="eastAsia" w:ascii="宋体" w:hAnsi="宋体"/>
                <w:color w:val="auto"/>
                <w:szCs w:val="21"/>
                <w:highlight w:val="none"/>
              </w:rPr>
              <w:t xml:space="preserve">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left"/>
              <w:keepLines w:val="0"/>
              <w:keepNext w:val="0"/>
              <w:spacing w:before="0" w:beforeAutospacing="0" w:after="0" w:afterAutospacing="0" w:line="300" w:lineRule="exact"/>
              <w:rPr>
                <w:color w:val="auto"/>
                <w:highlight w:val="none"/>
              </w:rPr>
              <w:suppressLineNumbers w:val="0"/>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法定代表人</w:t>
            </w:r>
            <w:r/>
          </w:p>
          <w:p>
            <w:pPr>
              <w:ind w:left="0" w:right="0" w:firstLine="10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法定代表人</w:t>
            </w:r>
            <w:r/>
          </w:p>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rFonts w:hint="eastAsia" w:eastAsia="宋体"/>
                <w:color w:val="auto"/>
                <w:szCs w:val="21"/>
                <w:highlight w:val="none"/>
                <w:lang w:eastAsia="zh-CN"/>
              </w:rPr>
              <w:suppressLineNumbers w:val="0"/>
            </w:pPr>
            <w:r>
              <w:rPr>
                <w:rFonts w:hint="eastAsia"/>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rFonts w:hint="eastAsia" w:eastAsia="宋体"/>
                <w:color w:val="auto"/>
                <w:szCs w:val="21"/>
                <w:highlight w:val="none"/>
                <w:lang w:eastAsia="zh-CN"/>
              </w:rPr>
              <w:suppressLineNumbers w:val="0"/>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rFonts w:hint="eastAsia" w:eastAsia="宋体"/>
                <w:color w:val="auto"/>
                <w:szCs w:val="21"/>
                <w:highlight w:val="none"/>
                <w:lang w:eastAsia="zh-CN"/>
              </w:rPr>
              <w:suppressLineNumbers w:val="0"/>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rFonts w:hint="eastAsia" w:eastAsia="宋体"/>
                <w:color w:val="auto"/>
                <w:szCs w:val="21"/>
                <w:highlight w:val="none"/>
                <w:lang w:eastAsia="zh-CN"/>
              </w:rPr>
              <w:suppressLineNumbers w:val="0"/>
            </w:pPr>
            <w:r>
              <w:rPr>
                <w:rFonts w:hint="eastAsia"/>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1117"/>
              <w:ind w:left="0" w:right="0" w:firstLine="0"/>
              <w:jc w:val="both"/>
              <w:keepLines w:val="0"/>
              <w:keepNext w:val="0"/>
              <w:spacing w:before="156" w:beforeAutospacing="0" w:after="0" w:afterAutospacing="0" w:line="360" w:lineRule="auto"/>
              <w:rPr>
                <w:color w:val="auto"/>
                <w:spacing w:val="20"/>
                <w:szCs w:val="21"/>
                <w:highlight w:val="none"/>
              </w:rPr>
              <w:suppressLineNumbers w:val="0"/>
            </w:pPr>
            <w:r>
              <w:rPr>
                <w:rFonts w:hint="eastAsia" w:ascii="宋体" w:hAnsi="宋体"/>
                <w:color w:val="auto"/>
                <w:szCs w:val="21"/>
                <w:highlight w:val="none"/>
              </w:rPr>
              <w:t xml:space="preserve">注：涉及联合体或其他合同主体的信息应按上表格式加列。</w:t>
            </w:r>
            <w:r/>
          </w:p>
        </w:tc>
      </w:tr>
    </w:tbl>
    <w:p>
      <w:pPr>
        <w:pStyle w:val="1099"/>
        <w:jc w:val="center"/>
        <w:spacing w:before="156"/>
        <w:rPr>
          <w:rFonts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b w:val="0"/>
          <w:bCs w:val="0"/>
          <w:color w:val="auto"/>
          <w:sz w:val="28"/>
          <w:szCs w:val="28"/>
          <w:highlight w:val="none"/>
        </w:rPr>
        <w:t xml:space="preserve">第二节 政府采购合同通用条款</w:t>
      </w:r>
      <w:r/>
    </w:p>
    <w:p>
      <w:pPr>
        <w:jc w:val="left"/>
        <w:spacing w:before="0"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 xml:space="preserve">定义</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rFonts w:hint="eastAsia" w:ascii="宋体" w:hAnsi="宋体"/>
          <w:color w:val="auto"/>
          <w:szCs w:val="21"/>
          <w:highlight w:val="none"/>
        </w:rPr>
        <w:t xml:space="preserve">政府采购合同专用条款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政府采购合同通用条款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投标（响应）文件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采购文件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有关技术文件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图纸</w:t>
      </w:r>
      <w:r>
        <w:rPr>
          <w:rFonts w:hint="eastAsia" w:ascii="宋体" w:hAnsi="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）“货物”系指乙方根据本合同规定须向甲方提供的各种形态和种类的物品，包括原材料、设备、产品（包括软件）及相关的其备品备件、工具、手册及</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技术资料和材料</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相关</w:t>
      </w:r>
      <w:r>
        <w:rPr>
          <w:rFonts w:hint="eastAsia" w:ascii="宋体" w:hAnsi="宋体"/>
          <w:color w:val="auto"/>
          <w:szCs w:val="21"/>
          <w:highlight w:val="none"/>
        </w:rPr>
        <w:t xml:space="preserve">服务”系指根据合同规定，乙方应提供的</w:t>
      </w:r>
      <w:r>
        <w:rPr>
          <w:rFonts w:hint="eastAsia" w:ascii="宋体" w:hAnsi="宋体"/>
          <w:color w:val="auto"/>
          <w:szCs w:val="21"/>
          <w:highlight w:val="none"/>
          <w:lang w:val="en-US" w:eastAsia="zh-CN"/>
        </w:rPr>
        <w:t xml:space="preserve">与货物有关的</w:t>
      </w:r>
      <w:r>
        <w:rPr>
          <w:rFonts w:hint="eastAsia" w:ascii="宋体" w:hAnsi="宋体"/>
          <w:color w:val="auto"/>
          <w:szCs w:val="21"/>
          <w:highlight w:val="none"/>
        </w:rPr>
        <w:t xml:space="preserve">技术、管理和</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w:t>
      </w:r>
      <w:r>
        <w:rPr>
          <w:rFonts w:hint="eastAsia" w:ascii="宋体" w:hAnsi="宋体"/>
          <w:color w:val="auto"/>
          <w:szCs w:val="21"/>
          <w:highlight w:val="none"/>
          <w:lang w:eastAsia="zh-CN"/>
        </w:rPr>
        <w:t xml:space="preserve">废弃处置、</w:t>
      </w:r>
      <w:r>
        <w:rPr>
          <w:rFonts w:hint="eastAsia" w:ascii="宋体" w:hAnsi="宋体"/>
          <w:color w:val="auto"/>
          <w:szCs w:val="21"/>
          <w:highlight w:val="none"/>
        </w:rPr>
        <w:t xml:space="preserve">技术支持等以及合同中规定乙方应承担的</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）“分包”系指中标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供应商按采购文件、投标（响应）文件的规定，根据分包意向协议，将中标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）“联合体”系指</w:t>
      </w:r>
      <w:r>
        <w:rPr>
          <w:rFonts w:hint="eastAsia" w:ascii="宋体" w:hAnsi="宋体"/>
          <w:color w:val="auto"/>
          <w:szCs w:val="21"/>
          <w:highlight w:val="none"/>
          <w:lang w:eastAsia="zh-CN"/>
        </w:rPr>
        <w:t xml:space="preserve">由</w:t>
      </w:r>
      <w:r>
        <w:rPr>
          <w:rFonts w:hint="eastAsia" w:ascii="宋体" w:hAnsi="宋体"/>
          <w:color w:val="auto"/>
          <w:szCs w:val="21"/>
          <w:highlight w:val="none"/>
        </w:rPr>
        <w:t xml:space="preserve">两个以上的自然人、法人或者</w:t>
      </w:r>
      <w:r>
        <w:rPr>
          <w:rFonts w:hint="eastAsia" w:ascii="宋体" w:hAnsi="宋体"/>
          <w:color w:val="auto"/>
          <w:szCs w:val="21"/>
          <w:highlight w:val="none"/>
          <w:lang w:val="en-US" w:eastAsia="zh-CN"/>
        </w:rPr>
        <w:t xml:space="preserve">非法人</w:t>
      </w:r>
      <w:r>
        <w:rPr>
          <w:rFonts w:hint="eastAsia" w:ascii="宋体" w:hAnsi="宋体"/>
          <w:color w:val="auto"/>
          <w:szCs w:val="21"/>
          <w:highlight w:val="none"/>
        </w:rPr>
        <w:t xml:space="preserve">组织组成，</w:t>
      </w:r>
      <w:r>
        <w:rPr>
          <w:rFonts w:hint="eastAsia" w:ascii="宋体" w:hAnsi="宋体"/>
          <w:color w:val="auto"/>
          <w:szCs w:val="21"/>
          <w:highlight w:val="none"/>
          <w:lang w:eastAsia="zh-CN"/>
        </w:rPr>
        <w:t xml:space="preserve">以一个供应商的身份共同参加政府采购的主体。</w:t>
      </w:r>
      <w:r>
        <w:rPr>
          <w:rFonts w:hint="eastAsia" w:ascii="宋体" w:hAnsi="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43"/>
        </w:numPr>
        <w:jc w:val="left"/>
        <w:spacing w:before="0"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before="0" w:line="400" w:lineRule="exact"/>
        <w:rPr>
          <w:rFonts w:ascii="宋体" w:hAnsi="宋体"/>
          <w:b/>
          <w:bCs/>
          <w:i/>
          <w:iCs/>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合同标的及金额应与中标（成交）结果一致。乙方为履行本合同而发生的所有费用均应包含在合同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中，甲方不再另行支付</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before="0" w:line="400" w:lineRule="exact"/>
        <w:rPr>
          <w:rFonts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履行合同的时间、地点和方式</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 xml:space="preserve">乙方应当在约定的时间、地点</w:t>
      </w:r>
      <w:r>
        <w:rPr>
          <w:rFonts w:hint="eastAsia" w:ascii="宋体" w:hAnsi="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甲方的权利和义务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color w:val="auto"/>
          <w:highlight w:val="none"/>
          <w:lang w:val="en-US" w:eastAsia="zh-CN"/>
        </w:rPr>
      </w:pPr>
      <w:r>
        <w:rPr>
          <w:rFonts w:hint="default" w:ascii="宋体" w:hAnsi="宋体"/>
          <w:color w:val="auto"/>
          <w:szCs w:val="21"/>
          <w:highlight w:val="none"/>
          <w:lang w:val="en-US" w:eastAsia="zh-CN"/>
        </w:rPr>
        <w:t xml:space="preserve">4.4 甲方应当按照合同约定及时对交付的货物进行验收</w:t>
      </w:r>
      <w:r>
        <w:rPr>
          <w:rFonts w:hint="eastAsia" w:ascii="宋体" w:hAnsi="宋体"/>
          <w:color w:val="auto"/>
          <w:szCs w:val="21"/>
          <w:highlight w:val="none"/>
          <w:lang w:val="en-US" w:eastAsia="zh-CN"/>
        </w:rPr>
        <w:t xml:space="preserve">，</w:t>
      </w:r>
      <w:r>
        <w:rPr>
          <w:rFonts w:hint="eastAsia" w:ascii="宋体" w:hAnsi="宋体" w:cs="宋体"/>
          <w:b w:val="0"/>
          <w:bCs w:val="0"/>
          <w:color w:val="auto"/>
          <w:szCs w:val="21"/>
          <w:highlight w:val="none"/>
          <w:lang w:eastAsia="zh-CN"/>
        </w:rPr>
        <w:t xml:space="preserve">未</w:t>
      </w:r>
      <w:r>
        <w:rPr>
          <w:rFonts w:hint="eastAsia" w:ascii="宋体" w:hAnsi="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color w:val="auto"/>
          <w:szCs w:val="21"/>
          <w:highlight w:val="none"/>
          <w:lang w:val="en-US" w:eastAsia="zh-CN"/>
        </w:rPr>
        <w:t xml:space="preserve">视为验收通过。</w:t>
      </w:r>
      <w:r/>
    </w:p>
    <w:p>
      <w:pPr>
        <w:ind w:firstLine="420"/>
        <w:jc w:val="left"/>
        <w:spacing w:line="400" w:lineRule="exact"/>
        <w:rPr>
          <w:rFonts w:hint="eastAsia" w:ascii="宋体" w:hAnsi="宋体"/>
          <w:color w:val="auto"/>
          <w:szCs w:val="21"/>
          <w:highlight w:val="none"/>
        </w:rPr>
      </w:pPr>
      <w:r>
        <w:rPr>
          <w:rFonts w:hint="default"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5</w:t>
      </w:r>
      <w:r>
        <w:rPr>
          <w:rFonts w:ascii="宋体" w:hAnsi="宋体"/>
          <w:color w:val="auto"/>
          <w:szCs w:val="21"/>
          <w:highlight w:val="none"/>
        </w:rPr>
        <w:t xml:space="preserve"> </w:t>
      </w:r>
      <w:r>
        <w:rPr>
          <w:rFonts w:hint="eastAsia" w:ascii="宋体" w:hAnsi="宋体"/>
          <w:color w:val="auto"/>
          <w:szCs w:val="21"/>
          <w:highlight w:val="none"/>
        </w:rPr>
        <w:t xml:space="preserve">甲方应当根据合同约定</w:t>
      </w:r>
      <w:r>
        <w:rPr>
          <w:rFonts w:hint="eastAsia" w:ascii="宋体" w:hAnsi="宋体"/>
          <w:color w:val="auto"/>
          <w:szCs w:val="21"/>
          <w:highlight w:val="none"/>
          <w:lang w:eastAsia="zh-CN"/>
        </w:rPr>
        <w:t xml:space="preserve">及</w:t>
      </w:r>
      <w:r>
        <w:rPr>
          <w:rFonts w:hint="eastAsia" w:ascii="宋体" w:hAnsi="宋体"/>
          <w:color w:val="auto"/>
          <w:szCs w:val="21"/>
          <w:highlight w:val="none"/>
        </w:rPr>
        <w:t xml:space="preserve">时向乙方支付</w:t>
      </w:r>
      <w:r>
        <w:rPr>
          <w:rFonts w:hint="eastAsia" w:ascii="宋体" w:hAnsi="宋体"/>
          <w:color w:val="auto"/>
          <w:szCs w:val="21"/>
          <w:highlight w:val="none"/>
          <w:lang w:eastAsia="zh-CN"/>
        </w:rPr>
        <w:t xml:space="preserve">合同价款</w:t>
      </w:r>
      <w:r>
        <w:rPr>
          <w:rFonts w:hint="default" w:ascii="宋体" w:hAnsi="宋体"/>
          <w:color w:val="auto"/>
          <w:szCs w:val="21"/>
          <w:highlight w:val="none"/>
          <w:lang w:eastAsia="zh-CN"/>
        </w:rPr>
        <w:t xml:space="preserve">，不得以内部人员变更、履行内部付款流程等为由，拒绝或迟延支付。</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w:t>
      </w:r>
      <w:r>
        <w:rPr>
          <w:rFonts w:hint="eastAsia" w:ascii="宋体" w:hAnsi="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lang w:eastAsia="zh-CN"/>
        </w:rPr>
        <w:t xml:space="preserve">约定应</w:t>
      </w:r>
      <w:r>
        <w:rPr>
          <w:rFonts w:hint="eastAsia" w:ascii="宋体" w:hAnsi="宋体"/>
          <w:color w:val="auto"/>
          <w:szCs w:val="21"/>
          <w:highlight w:val="none"/>
        </w:rPr>
        <w:t xml:space="preserve">由甲方承担的其他义务和责任。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乙方的权利和义务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.1 </w:t>
      </w:r>
      <w:r>
        <w:rPr>
          <w:rFonts w:ascii="宋体" w:hAnsi="宋体"/>
          <w:color w:val="auto"/>
          <w:szCs w:val="21"/>
          <w:highlight w:val="none"/>
        </w:rPr>
        <w:t xml:space="preserve">签署合同后，乙方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w:t>
      </w:r>
      <w:r>
        <w:rPr>
          <w:rFonts w:hint="eastAsia" w:ascii="宋体" w:hAnsi="宋体"/>
          <w:color w:val="auto"/>
          <w:szCs w:val="21"/>
          <w:highlight w:val="none"/>
          <w:lang w:eastAsia="zh-CN"/>
        </w:rPr>
        <w:t xml:space="preserve">及相关</w:t>
      </w:r>
      <w:r>
        <w:rPr>
          <w:rFonts w:hint="eastAsia" w:ascii="宋体" w:hAnsi="宋体"/>
          <w:color w:val="auto"/>
          <w:szCs w:val="21"/>
          <w:highlight w:val="none"/>
        </w:rPr>
        <w:t xml:space="preserve">服务符合合同</w:t>
      </w:r>
      <w:r>
        <w:rPr>
          <w:rFonts w:hint="eastAsia" w:ascii="宋体" w:hAnsi="宋体"/>
          <w:color w:val="auto"/>
          <w:szCs w:val="21"/>
          <w:highlight w:val="none"/>
          <w:lang w:eastAsia="zh-CN"/>
        </w:rPr>
        <w:t xml:space="preserve">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w:t>
      </w:r>
      <w:r>
        <w:rPr>
          <w:rFonts w:hint="eastAsia" w:ascii="宋体" w:hAnsi="宋体"/>
          <w:color w:val="auto"/>
          <w:szCs w:val="21"/>
          <w:highlight w:val="none"/>
          <w:lang w:eastAsia="zh-CN"/>
        </w:rPr>
        <w:t xml:space="preserve">及验收</w:t>
      </w:r>
      <w:r>
        <w:rPr>
          <w:rFonts w:hint="eastAsia" w:ascii="宋体" w:hAnsi="宋体"/>
          <w:color w:val="auto"/>
          <w:szCs w:val="21"/>
          <w:highlight w:val="none"/>
        </w:rPr>
        <w:t xml:space="preserve">，并</w:t>
      </w:r>
      <w:r>
        <w:rPr>
          <w:rFonts w:ascii="宋体" w:hAnsi="宋体"/>
          <w:color w:val="auto"/>
          <w:szCs w:val="21"/>
          <w:highlight w:val="none"/>
        </w:rPr>
        <w:t xml:space="preserve">负责项目实施过程中的所有协调工作。</w:t>
      </w:r>
      <w:r/>
    </w:p>
    <w:p>
      <w:pPr>
        <w:pStyle w:val="1114"/>
        <w:ind w:firstLine="422"/>
        <w:spacing w:after="0" w:line="400" w:lineRule="exact"/>
        <w:rPr>
          <w:rFonts w:ascii="宋体" w:hAnsi="宋体" w:cs="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w:t>
      </w:r>
      <w:r>
        <w:rPr>
          <w:rFonts w:hint="eastAsia" w:ascii="宋体" w:hAnsi="宋体" w:cs="宋体"/>
          <w:color w:val="auto"/>
          <w:szCs w:val="21"/>
          <w:highlight w:val="none"/>
          <w:lang w:eastAsia="zh-CN"/>
        </w:rPr>
        <w:t xml:space="preserve">合同价款</w:t>
      </w:r>
      <w:r>
        <w:rPr>
          <w:rFonts w:hint="eastAsia" w:ascii="宋体" w:hAnsi="宋体" w:cs="宋体"/>
          <w:color w:val="auto"/>
          <w:szCs w:val="21"/>
          <w:highlight w:val="none"/>
        </w:rPr>
        <w:t xml:space="preserve">。</w:t>
      </w:r>
      <w:r/>
    </w:p>
    <w:p>
      <w:pPr>
        <w:pStyle w:val="1114"/>
        <w:ind w:firstLine="422"/>
        <w:spacing w:after="0" w:line="400" w:lineRule="exact"/>
        <w:rPr>
          <w:rFonts w:ascii="宋体" w:hAnsi="宋体" w:cs="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cs="宋体"/>
          <w:b w:val="0"/>
          <w:bCs w:val="0"/>
          <w:color w:val="auto"/>
          <w:szCs w:val="21"/>
          <w:highlight w:val="none"/>
          <w:lang w:eastAsia="zh-CN"/>
        </w:rPr>
        <w:t xml:space="preserve">约定应</w:t>
      </w:r>
      <w:r>
        <w:rPr>
          <w:rFonts w:hint="eastAsia" w:ascii="宋体" w:hAnsi="宋体" w:cs="宋体"/>
          <w:color w:val="auto"/>
          <w:szCs w:val="21"/>
          <w:highlight w:val="none"/>
        </w:rPr>
        <w:t xml:space="preserve">由乙方承担的其他义务和责任。</w:t>
      </w:r>
      <w:r/>
    </w:p>
    <w:p>
      <w:pPr>
        <w:numPr>
          <w:ilvl w:val="0"/>
          <w:numId w:val="44"/>
        </w:num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w:t>
      </w:r>
      <w:r>
        <w:rPr>
          <w:rFonts w:hint="eastAsia" w:ascii="宋体" w:hAnsi="宋体"/>
          <w:b/>
          <w:bCs/>
          <w:color w:val="auto"/>
          <w:sz w:val="24"/>
          <w:highlight w:val="none"/>
          <w:lang w:val="en-US" w:eastAsia="zh-CN"/>
        </w:rPr>
        <w:t xml:space="preserve">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before="0" w:line="400" w:lineRule="exact"/>
        <w:rPr>
          <w:color w:val="auto"/>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货物包装、运输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保险</w:t>
      </w:r>
      <w:r>
        <w:rPr>
          <w:rFonts w:hint="eastAsia" w:ascii="宋体" w:hAnsi="宋体"/>
          <w:b/>
          <w:bCs/>
          <w:color w:val="auto"/>
          <w:sz w:val="24"/>
          <w:highlight w:val="none"/>
          <w:lang w:eastAsia="zh-CN"/>
        </w:rPr>
        <w:t xml:space="preserve">和交付</w:t>
      </w:r>
      <w:r>
        <w:rPr>
          <w:rFonts w:hint="eastAsia" w:ascii="宋体" w:hAnsi="宋体"/>
          <w:b/>
          <w:bCs/>
          <w:color w:val="auto"/>
          <w:sz w:val="24"/>
          <w:highlight w:val="none"/>
        </w:rPr>
        <w:t xml:space="preserve">要求</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.1 本合同</w:t>
      </w:r>
      <w:r>
        <w:rPr>
          <w:rFonts w:hint="eastAsia" w:ascii="宋体" w:hAnsi="宋体"/>
          <w:bCs/>
          <w:color w:val="auto"/>
          <w:szCs w:val="21"/>
          <w:highlight w:val="none"/>
        </w:rPr>
        <w:t xml:space="preserve">涉及商品包装</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约定的</w:t>
      </w:r>
      <w:r>
        <w:rPr>
          <w:rFonts w:hint="eastAsia" w:ascii="宋体" w:hAnsi="宋体"/>
          <w:color w:val="auto"/>
          <w:szCs w:val="21"/>
          <w:highlight w:val="none"/>
        </w:rPr>
        <w:t xml:space="preserve">指定现场。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乙方负责办理将货物运抵本合同规定的交货地点</w:t>
      </w:r>
      <w:r>
        <w:rPr>
          <w:rFonts w:hint="eastAsia" w:ascii="宋体" w:hAnsi="宋体"/>
          <w:color w:val="auto"/>
          <w:szCs w:val="21"/>
          <w:highlight w:val="none"/>
          <w:lang w:eastAsia="zh-CN"/>
        </w:rPr>
        <w:t xml:space="preserve">，并装卸、交付至甲方</w:t>
      </w:r>
      <w:r>
        <w:rPr>
          <w:rFonts w:hint="eastAsia" w:ascii="宋体" w:hAnsi="宋体"/>
          <w:color w:val="auto"/>
          <w:szCs w:val="21"/>
          <w:highlight w:val="none"/>
        </w:rPr>
        <w:t xml:space="preserve">的一切运输事项，相关费用应</w:t>
      </w:r>
      <w:r>
        <w:rPr>
          <w:rFonts w:hint="eastAsia" w:ascii="宋体" w:hAnsi="宋体"/>
          <w:color w:val="auto"/>
          <w:szCs w:val="21"/>
          <w:highlight w:val="none"/>
          <w:lang w:eastAsia="zh-CN"/>
        </w:rPr>
        <w:t xml:space="preserve">包含</w:t>
      </w:r>
      <w:r>
        <w:rPr>
          <w:rFonts w:hint="eastAsia" w:ascii="宋体" w:hAnsi="宋体"/>
          <w:color w:val="auto"/>
          <w:szCs w:val="21"/>
          <w:highlight w:val="none"/>
        </w:rPr>
        <w:t xml:space="preserve">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 xml:space="preserve">除采购活动</w:t>
      </w:r>
      <w:r>
        <w:rPr>
          <w:rFonts w:hint="eastAsia" w:ascii="宋体" w:hAnsi="宋体"/>
          <w:color w:val="auto"/>
          <w:szCs w:val="21"/>
          <w:highlight w:val="none"/>
        </w:rPr>
        <w:t xml:space="preserve">对商品包装</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w:t>
      </w:r>
      <w:r>
        <w:rPr>
          <w:rFonts w:hint="eastAsia" w:ascii="宋体" w:hAnsi="宋体"/>
          <w:color w:val="auto"/>
          <w:szCs w:val="21"/>
          <w:highlight w:val="none"/>
          <w:lang w:val="en-US" w:eastAsia="zh-CN"/>
        </w:rPr>
        <w:t xml:space="preserve">达成具体约定外</w:t>
      </w:r>
      <w:r>
        <w:rPr>
          <w:rFonts w:hint="eastAsia" w:ascii="宋体" w:hAnsi="宋体"/>
          <w:color w:val="auto"/>
          <w:szCs w:val="21"/>
          <w:highlight w:val="none"/>
        </w:rPr>
        <w:t xml:space="preserve">，乙方提供产品及相关快递服务</w:t>
      </w:r>
      <w:r>
        <w:rPr>
          <w:rFonts w:hint="eastAsia" w:ascii="宋体" w:hAnsi="宋体"/>
          <w:color w:val="auto"/>
          <w:szCs w:val="21"/>
          <w:highlight w:val="none"/>
          <w:lang w:val="en-US" w:eastAsia="zh-CN"/>
        </w:rPr>
        <w:t xml:space="preserve">涉及到</w:t>
      </w:r>
      <w:r>
        <w:rPr>
          <w:rFonts w:hint="eastAsia" w:ascii="宋体" w:hAnsi="宋体"/>
          <w:color w:val="auto"/>
          <w:szCs w:val="21"/>
          <w:highlight w:val="none"/>
        </w:rPr>
        <w:t xml:space="preserve">具体包装要求</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不低于</w:t>
      </w:r>
      <w:r>
        <w:rPr>
          <w:rFonts w:hint="eastAsia" w:ascii="宋体" w:hAnsi="宋体"/>
          <w:color w:val="auto"/>
          <w:szCs w:val="21"/>
          <w:highlight w:val="none"/>
        </w:rPr>
        <w:t xml:space="preserve">《商品包装政府采购需求标准（试行）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w:t>
      </w:r>
      <w:r>
        <w:rPr>
          <w:rFonts w:hint="eastAsia" w:ascii="宋体" w:hAnsi="宋体"/>
          <w:color w:val="auto"/>
          <w:szCs w:val="21"/>
          <w:highlight w:val="none"/>
          <w:lang w:val="en-US" w:eastAsia="zh-CN"/>
        </w:rPr>
        <w:t xml:space="preserve">标准</w:t>
      </w:r>
      <w:r>
        <w:rPr>
          <w:rFonts w:hint="eastAsia" w:ascii="宋体" w:hAnsi="宋体"/>
          <w:color w:val="auto"/>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cs="宋体"/>
          <w:color w:val="auto"/>
          <w:szCs w:val="21"/>
          <w:highlight w:val="none"/>
          <w:lang w:eastAsia="zh-CN"/>
        </w:rPr>
        <w:t xml:space="preserve">，甲方配合乙方做好货物的接收工作。</w:t>
      </w:r>
      <w:r/>
    </w:p>
    <w:p>
      <w:pPr>
        <w:pStyle w:val="1166"/>
        <w:rPr>
          <w:rFonts w:hint="default" w:eastAsia="华文楷体"/>
          <w:color w:val="auto"/>
          <w:sz w:val="21"/>
          <w:highlight w:val="none"/>
          <w:lang w:val="en-US" w:eastAsia="zh-CN"/>
        </w:rPr>
      </w:pPr>
      <w:r>
        <w:rPr>
          <w:rFonts w:hint="eastAsia" w:ascii="宋体" w:hAnsi="宋体" w:eastAsia="宋体" w:cs="Times New Roman"/>
          <w:color w:val="auto"/>
          <w:sz w:val="21"/>
          <w:szCs w:val="21"/>
          <w:highlight w:val="none"/>
          <w:lang w:val="en-US" w:eastAsia="zh-CN"/>
        </w:rPr>
        <w:t xml:space="preserve">7.6 </w:t>
      </w:r>
      <w:r>
        <w:rPr>
          <w:rFonts w:hint="eastAsia" w:ascii="宋体" w:hAnsi="宋体" w:eastAsia="宋体" w:cs="Times New Roman"/>
          <w:color w:val="auto"/>
          <w:sz w:val="21"/>
          <w:szCs w:val="21"/>
          <w:highlight w:val="none"/>
        </w:rPr>
        <w:t xml:space="preserve">如因包装</w:t>
      </w:r>
      <w:r>
        <w:rPr>
          <w:rFonts w:hint="eastAsia" w:ascii="宋体" w:hAnsi="宋体" w:eastAsia="宋体" w:cs="Times New Roman"/>
          <w:color w:val="auto"/>
          <w:sz w:val="21"/>
          <w:szCs w:val="21"/>
          <w:highlight w:val="none"/>
          <w:lang w:eastAsia="zh-CN"/>
        </w:rPr>
        <w:t xml:space="preserve">、运输</w:t>
      </w:r>
      <w:r>
        <w:rPr>
          <w:rFonts w:hint="eastAsia" w:ascii="宋体" w:hAnsi="宋体" w:eastAsia="宋体" w:cs="Times New Roman"/>
          <w:color w:val="auto"/>
          <w:sz w:val="21"/>
          <w:szCs w:val="21"/>
          <w:highlight w:val="none"/>
        </w:rPr>
        <w:t xml:space="preserve">问题导致货物</w:t>
      </w:r>
      <w:r>
        <w:rPr>
          <w:rFonts w:hint="eastAsia" w:ascii="宋体" w:hAnsi="宋体" w:eastAsia="宋体" w:cs="Times New Roman"/>
          <w:color w:val="auto"/>
          <w:sz w:val="21"/>
          <w:szCs w:val="21"/>
          <w:highlight w:val="none"/>
          <w:lang w:eastAsia="zh-CN"/>
        </w:rPr>
        <w:t xml:space="preserve">损毁、丢失</w:t>
      </w:r>
      <w:r>
        <w:rPr>
          <w:rFonts w:hint="eastAsia" w:ascii="宋体" w:hAnsi="宋体" w:eastAsia="宋体" w:cs="Times New Roman"/>
          <w:color w:val="auto"/>
          <w:sz w:val="21"/>
          <w:szCs w:val="21"/>
          <w:highlight w:val="none"/>
        </w:rPr>
        <w:t xml:space="preserve">或者品质下降，</w:t>
      </w:r>
      <w:r>
        <w:rPr>
          <w:rFonts w:hint="eastAsia" w:ascii="宋体" w:hAnsi="宋体" w:eastAsia="宋体" w:cs="Times New Roman"/>
          <w:color w:val="auto"/>
          <w:sz w:val="21"/>
          <w:szCs w:val="21"/>
          <w:highlight w:val="none"/>
          <w:lang w:eastAsia="zh-CN"/>
        </w:rPr>
        <w:t xml:space="preserve">甲方</w:t>
      </w:r>
      <w:r>
        <w:rPr>
          <w:rFonts w:hint="eastAsia" w:ascii="宋体" w:hAnsi="宋体" w:eastAsia="宋体" w:cs="Times New Roman"/>
          <w:color w:val="auto"/>
          <w:sz w:val="21"/>
          <w:szCs w:val="21"/>
          <w:highlight w:val="none"/>
        </w:rPr>
        <w:t xml:space="preserve">有权要求降价、换货、拒收部分或整批货物，由此</w:t>
      </w:r>
      <w:r>
        <w:rPr>
          <w:rFonts w:hint="eastAsia" w:ascii="宋体" w:hAnsi="宋体" w:eastAsia="宋体" w:cs="Times New Roman"/>
          <w:color w:val="auto"/>
          <w:sz w:val="21"/>
          <w:szCs w:val="21"/>
          <w:highlight w:val="none"/>
          <w:lang w:eastAsia="zh-CN"/>
        </w:rPr>
        <w:t xml:space="preserve">产生</w:t>
      </w:r>
      <w:r>
        <w:rPr>
          <w:rFonts w:hint="eastAsia" w:ascii="宋体" w:hAnsi="宋体" w:eastAsia="宋体" w:cs="Times New Roman"/>
          <w:color w:val="auto"/>
          <w:sz w:val="21"/>
          <w:szCs w:val="21"/>
          <w:highlight w:val="none"/>
        </w:rPr>
        <w:t xml:space="preserve">的费用和损失，均由</w:t>
      </w:r>
      <w:r>
        <w:rPr>
          <w:rFonts w:hint="eastAsia" w:ascii="宋体" w:hAnsi="宋体" w:eastAsia="宋体" w:cs="Times New Roman"/>
          <w:color w:val="auto"/>
          <w:sz w:val="21"/>
          <w:szCs w:val="21"/>
          <w:highlight w:val="none"/>
          <w:lang w:eastAsia="zh-CN"/>
        </w:rPr>
        <w:t xml:space="preserve">乙方</w:t>
      </w:r>
      <w:r>
        <w:rPr>
          <w:rFonts w:hint="eastAsia" w:ascii="宋体" w:hAnsi="宋体" w:eastAsia="宋体" w:cs="Times New Roman"/>
          <w:color w:val="auto"/>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auto"/>
          <w:sz w:val="24"/>
          <w:highlight w:val="none"/>
          <w:lang w:eastAsia="zh-CN"/>
        </w:rPr>
        <w:t xml:space="preserve">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质量标准和保证</w:t>
      </w:r>
      <w:r/>
    </w:p>
    <w:p>
      <w:pPr>
        <w:pStyle w:val="1121"/>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auto"/>
          <w:szCs w:val="21"/>
          <w:highlight w:val="none"/>
          <w:lang w:eastAsia="zh-CN"/>
        </w:rPr>
        <w:t xml:space="preserve">约</w:t>
      </w:r>
      <w:r>
        <w:rPr>
          <w:rFonts w:hint="eastAsia" w:ascii="宋体" w:hAnsi="宋体" w:eastAsia="宋体" w:cs="宋体"/>
          <w:color w:val="auto"/>
          <w:szCs w:val="21"/>
          <w:highlight w:val="none"/>
        </w:rPr>
        <w:t xml:space="preserve">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1121"/>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color w:val="auto"/>
          <w:szCs w:val="21"/>
          <w:highlight w:val="none"/>
        </w:rPr>
        <w:t xml:space="preserve">在其使用寿命期内具</w:t>
      </w:r>
      <w:r>
        <w:rPr>
          <w:rFonts w:hint="eastAsia" w:ascii="宋体" w:hAnsi="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.1条规定以书面形式</w:t>
      </w:r>
      <w:r>
        <w:rPr>
          <w:rFonts w:hint="eastAsia" w:ascii="宋体" w:hAnsi="宋体"/>
          <w:color w:val="auto"/>
          <w:szCs w:val="21"/>
          <w:highlight w:val="none"/>
          <w:lang w:eastAsia="zh-CN"/>
        </w:rPr>
        <w:t xml:space="preserve">追究</w:t>
      </w: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.1 乙方保证对其出售的货物享有合法的权利。</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.3 如甲方使用</w:t>
      </w:r>
      <w:r>
        <w:rPr>
          <w:rFonts w:hint="eastAsia" w:ascii="宋体" w:hAnsi="宋体"/>
          <w:color w:val="auto"/>
          <w:szCs w:val="21"/>
          <w:highlight w:val="none"/>
          <w:lang w:val="en-US" w:eastAsia="zh-CN"/>
        </w:rPr>
        <w:t xml:space="preserve">上述</w:t>
      </w:r>
      <w:r>
        <w:rPr>
          <w:rFonts w:hint="eastAsia" w:ascii="宋体" w:hAnsi="宋体"/>
          <w:color w:val="auto"/>
          <w:szCs w:val="21"/>
          <w:highlight w:val="none"/>
        </w:rPr>
        <w:t xml:space="preserve">货物构成</w:t>
      </w:r>
      <w:r>
        <w:rPr>
          <w:rFonts w:hint="eastAsia" w:ascii="宋体" w:hAnsi="宋体"/>
          <w:color w:val="auto"/>
          <w:szCs w:val="21"/>
          <w:highlight w:val="none"/>
          <w:lang w:val="en-US" w:eastAsia="zh-CN"/>
        </w:rPr>
        <w:t xml:space="preserve">对第三人</w:t>
      </w:r>
      <w:r>
        <w:rPr>
          <w:rFonts w:hint="eastAsia" w:ascii="宋体" w:hAnsi="宋体"/>
          <w:color w:val="auto"/>
          <w:szCs w:val="21"/>
          <w:highlight w:val="none"/>
        </w:rPr>
        <w:t xml:space="preserve">侵权的，则由乙方承担全部责任。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0</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0</w:t>
      </w:r>
      <w:r>
        <w:rPr>
          <w:rFonts w:hint="eastAsia" w:ascii="宋体" w:hAnsi="宋体"/>
          <w:color w:val="auto"/>
          <w:szCs w:val="21"/>
          <w:highlight w:val="none"/>
        </w:rPr>
        <w:t xml:space="preserve">.1 乙方对其所销售的货物应当享有知识产权或经权利人合法授权，保证没有侵犯任何第三人的知识产权等权利。</w:t>
      </w:r>
      <w:bookmarkStart w:id="35"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5"/>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20"/>
        <w:spacing w:line="400" w:lineRule="exact"/>
        <w:rPr>
          <w:rFonts w:hint="eastAsia" w:eastAsia="宋体"/>
          <w:color w:val="auto"/>
          <w:highlight w:val="none"/>
          <w:lang w:eastAsia="zh-CN"/>
        </w:rPr>
        <w:outlineLvl w:val="9"/>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111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cs="宋体"/>
          <w:b w:val="0"/>
          <w:bCs w:val="0"/>
          <w:color w:val="auto"/>
          <w:szCs w:val="15"/>
          <w:highlight w:val="none"/>
          <w:lang w:eastAsia="zh-CN"/>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color w:val="auto"/>
          <w:szCs w:val="15"/>
          <w:highlight w:val="none"/>
          <w:lang w:eastAsia="zh-CN"/>
        </w:rPr>
        <w:t xml:space="preserve">；</w:t>
      </w:r>
      <w:r/>
    </w:p>
    <w:p>
      <w:pPr>
        <w:pStyle w:val="11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45"/>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166"/>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spacing w:line="400" w:lineRule="exact"/>
        <w:rPr>
          <w:color w:val="auto"/>
          <w:sz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cs="宋体"/>
          <w:color w:val="auto"/>
          <w:szCs w:val="21"/>
          <w:highlight w:val="none"/>
          <w:lang w:val="en-US" w:eastAsia="zh-CN"/>
        </w:rPr>
        <w:t xml:space="preserve">任</w:t>
      </w:r>
      <w:r>
        <w:rPr>
          <w:rFonts w:hint="eastAsia" w:ascii="宋体" w:hAnsi="宋体"/>
          <w:color w:val="auto"/>
          <w:szCs w:val="21"/>
          <w:highlight w:val="none"/>
        </w:rPr>
        <w:t xml:space="preserve">。</w:t>
      </w:r>
      <w:r/>
    </w:p>
    <w:p>
      <w:pPr>
        <w:pStyle w:val="1166"/>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166"/>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1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11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1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1114"/>
        <w:ind w:firstLine="480"/>
        <w:spacing w:after="0" w:line="400" w:lineRule="exact"/>
        <w:rPr>
          <w:rFonts w:hint="eastAsia" w:ascii="宋体" w:hAnsi="宋体" w:eastAsia="宋体" w:cs="宋体"/>
          <w:color w:val="auto"/>
          <w:sz w:val="21"/>
          <w:szCs w:val="22"/>
          <w:highlight w:val="none"/>
          <w:lang w:val="en-GB" w:eastAsia="zh-CN" w:bidi="ar-SA"/>
        </w:rPr>
      </w:pPr>
      <w:r>
        <w:rPr>
          <w:rFonts w:hint="eastAsia" w:ascii="宋体" w:hAnsi="宋体" w:eastAsia="宋体" w:cs="宋体"/>
          <w:color w:val="auto"/>
          <w:sz w:val="21"/>
          <w:szCs w:val="22"/>
          <w:highlight w:val="none"/>
          <w:lang w:val="en-GB" w:eastAsia="zh-CN" w:bidi="ar-SA"/>
        </w:rPr>
        <w:t xml:space="preserve">2</w:t>
      </w:r>
      <w:r>
        <w:rPr>
          <w:rFonts w:hint="eastAsia" w:ascii="宋体" w:hAnsi="宋体" w:eastAsia="宋体" w:cs="宋体"/>
          <w:color w:val="auto"/>
          <w:sz w:val="21"/>
          <w:szCs w:val="22"/>
          <w:highlight w:val="none"/>
          <w:lang w:val="en-US" w:eastAsia="zh-CN" w:bidi="ar-SA"/>
        </w:rPr>
        <w:t xml:space="preserve">0</w:t>
      </w:r>
      <w:r>
        <w:rPr>
          <w:rFonts w:hint="eastAsia" w:ascii="宋体" w:hAnsi="宋体" w:eastAsia="宋体" w:cs="宋体"/>
          <w:color w:val="auto"/>
          <w:sz w:val="21"/>
          <w:szCs w:val="22"/>
          <w:highlight w:val="none"/>
          <w:lang w:val="en-GB" w:eastAsia="zh-CN" w:bidi="ar-SA"/>
        </w:rPr>
        <w:t xml:space="preserve">.</w:t>
      </w:r>
      <w:r>
        <w:rPr>
          <w:rFonts w:hint="eastAsia" w:ascii="宋体" w:hAnsi="宋体" w:eastAsia="宋体" w:cs="宋体"/>
          <w:color w:val="auto"/>
          <w:sz w:val="21"/>
          <w:szCs w:val="22"/>
          <w:highlight w:val="none"/>
          <w:lang w:val="en-US" w:eastAsia="zh-CN" w:bidi="ar-SA"/>
        </w:rPr>
        <w:t xml:space="preserve">3</w:t>
      </w:r>
      <w:r>
        <w:rPr>
          <w:rFonts w:hint="eastAsia" w:ascii="宋体" w:hAnsi="宋体" w:eastAsia="宋体" w:cs="宋体"/>
          <w:color w:val="auto"/>
          <w:sz w:val="21"/>
          <w:szCs w:val="22"/>
          <w:highlight w:val="none"/>
          <w:lang w:val="en-GB" w:eastAsia="zh-CN" w:bidi="ar-SA"/>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1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11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1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166"/>
        <w:ind w:firstLine="0"/>
        <w:jc w:val="both"/>
        <w:rPr>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22.3本合同一方给另一方的通知均应采用书面形式，传真或快递送到本合同中规定的对方的地址和办理签收手续。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22.4通知以送达之日或通知书中规定的生效之日起生效，两者中以较迟之日为准。</w:t>
      </w:r>
      <w:r/>
    </w:p>
    <w:p>
      <w:pPr>
        <w:numPr>
          <w:ilvl w:val="0"/>
          <w:numId w:val="46"/>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36" w:name="_Toc20313"/>
      <w:r/>
      <w:r/>
    </w:p>
    <w:p>
      <w:pPr>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clear="all"/>
      </w:r>
      <w:r/>
    </w:p>
    <w:p>
      <w:pPr>
        <w:pStyle w:val="1099"/>
        <w:jc w:val="center"/>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bookmarkEnd w:id="36"/>
      <w:r/>
      <w:r/>
    </w:p>
    <w:tbl>
      <w:tblPr>
        <w:tblStyle w:val="110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lang w:eastAsia="zh-CN"/>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color w:val="auto"/>
                <w:szCs w:val="21"/>
                <w:highlight w:val="none"/>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4.6款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第二节</w:t>
            </w:r>
            <w:r/>
          </w:p>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5.4款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6.1款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包装</w:t>
            </w:r>
            <w:r>
              <w:rPr>
                <w:rFonts w:hint="eastAsia" w:ascii="宋体" w:hAnsi="宋体"/>
                <w:color w:val="auto"/>
                <w:szCs w:val="21"/>
                <w:highlight w:val="none"/>
                <w:lang w:eastAsia="zh-CN"/>
              </w:rPr>
              <w:t xml:space="preserve">特殊要求</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指定现场</w:t>
            </w:r>
            <w:r/>
          </w:p>
        </w:tc>
        <w:tc>
          <w:tcPr>
            <w:tcW w:w="5170" w:type="dxa"/>
            <w:vAlign w:val="center"/>
            <w:textDirection w:val="lrTb"/>
            <w:noWrap w:val="false"/>
          </w:tcPr>
          <w:p>
            <w:pPr>
              <w:ind w:left="0" w:right="0"/>
              <w:keepLines w:val="0"/>
              <w:keepNext w:val="0"/>
              <w:spacing w:before="0" w:beforeAutospacing="0" w:after="0" w:afterAutospacing="0"/>
              <w:rPr>
                <w:rFonts w:hint="eastAsia"/>
                <w:color w:val="auto"/>
                <w:highlight w:val="none"/>
              </w:rPr>
              <w:suppressLineNumbers w:val="0"/>
            </w:pPr>
            <w:r>
              <w:rPr>
                <w:rFonts w:hint="eastAsia"/>
                <w:color w:val="auto"/>
                <w:highlight w:val="none"/>
              </w:rPr>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运输特殊要求</w:t>
            </w:r>
            <w:r/>
          </w:p>
        </w:tc>
        <w:tc>
          <w:tcPr>
            <w:tcW w:w="5170" w:type="dxa"/>
            <w:vAlign w:val="center"/>
            <w:textDirection w:val="lrTb"/>
            <w:noWrap w:val="false"/>
          </w:tcPr>
          <w:p>
            <w:pPr>
              <w:ind w:left="0" w:right="0"/>
              <w:keepLines w:val="0"/>
              <w:keepNext w:val="0"/>
              <w:spacing w:before="0" w:beforeAutospacing="0" w:after="0" w:afterAutospacing="0"/>
              <w:rPr>
                <w:rFonts w:hint="eastAsia"/>
                <w:color w:val="auto"/>
                <w:highlight w:val="none"/>
              </w:rPr>
              <w:suppressLineNumbers w:val="0"/>
            </w:pPr>
            <w:r>
              <w:rPr>
                <w:rFonts w:hint="eastAsia"/>
                <w:color w:val="auto"/>
                <w:highlight w:val="none"/>
              </w:rPr>
            </w:r>
            <w:r/>
          </w:p>
        </w:tc>
      </w:tr>
      <w:tr>
        <w:trPr>
          <w:trHeight w:val="9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保险要求</w:t>
            </w:r>
            <w:r/>
          </w:p>
        </w:tc>
        <w:tc>
          <w:tcPr>
            <w:tcW w:w="5170" w:type="dxa"/>
            <w:vAlign w:val="center"/>
            <w:textDirection w:val="lrTb"/>
            <w:noWrap w:val="false"/>
          </w:tcPr>
          <w:p>
            <w:pPr>
              <w:ind w:left="0" w:right="0"/>
              <w:keepLines w:val="0"/>
              <w:keepNext w:val="0"/>
              <w:spacing w:before="0" w:beforeAutospacing="0" w:after="0" w:afterAutospacing="0"/>
              <w:rPr>
                <w:rFonts w:hint="eastAsia"/>
                <w:color w:val="auto"/>
                <w:highlight w:val="none"/>
              </w:rPr>
              <w:suppressLineNumbers w:val="0"/>
            </w:pPr>
            <w:r>
              <w:rPr>
                <w:rFonts w:hint="eastAsia" w:ascii="等线" w:hAnsi="等线" w:eastAsia="等线" w:cs="Times New Roman"/>
                <w:color w:val="auto"/>
                <w:spacing w:val="0"/>
                <w:sz w:val="21"/>
                <w:szCs w:val="22"/>
                <w:highlight w:val="none"/>
                <w:lang w:val="en-US" w:eastAsia="zh-CN" w:bidi="ar-SA"/>
              </w:rPr>
              <w:t xml:space="preserve">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.2（1）项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质量保证期</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color w:val="auto"/>
                <w:spacing w:val="0"/>
                <w:highlight w:val="none"/>
              </w:rPr>
              <w:t xml:space="preserve">质保期叁年，自交付使用之日起计算</w:t>
            </w:r>
            <w:r>
              <w:rPr>
                <w:rFonts w:hint="eastAsia"/>
                <w:color w:val="auto"/>
                <w:spacing w:val="0"/>
                <w:highlight w:val="none"/>
                <w:lang w:eastAsia="zh-CN"/>
              </w:rPr>
              <w:t xml:space="preserve">。</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.2（3）项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货物质量缺陷</w:t>
            </w:r>
            <w:r/>
          </w:p>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等线" w:hAnsi="等线" w:eastAsia="等线" w:cs="Times New Roman"/>
                <w:color w:val="auto"/>
                <w:spacing w:val="0"/>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等线" w:hAnsi="等线" w:eastAsia="等线" w:cs="Times New Roman"/>
                <w:color w:val="auto"/>
                <w:spacing w:val="0"/>
                <w:highlight w:val="none"/>
                <w:lang w:eastAsia="zh-CN"/>
              </w:rPr>
              <w:t xml:space="preserve">。</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第二节</w:t>
            </w:r>
            <w:r/>
          </w:p>
          <w:p>
            <w:pPr>
              <w:pStyle w:val="1166"/>
              <w:ind w:left="0" w:right="0" w:firstLine="0"/>
              <w:jc w:val="center"/>
              <w:keepLines w:val="0"/>
              <w:keepNext w:val="0"/>
              <w:spacing w:before="0" w:beforeAutospacing="0" w:after="0" w:afterAutospacing="0"/>
              <w:widowControl/>
              <w:rPr>
                <w:rFonts w:hint="default"/>
                <w:color w:val="auto"/>
                <w:highlight w:val="none"/>
                <w:lang w:val="en-US" w:eastAsia="zh-CN"/>
              </w:rPr>
              <w:suppressLineNumbers w:val="0"/>
            </w:pPr>
            <w:r>
              <w:rPr>
                <w:rFonts w:hint="eastAsia" w:ascii="宋体" w:hAnsi="宋体" w:eastAsia="宋体" w:cs="宋体"/>
                <w:color w:val="auto"/>
                <w:szCs w:val="21"/>
                <w:highlight w:val="none"/>
                <w:lang w:val="en-US" w:eastAsia="zh-CN"/>
              </w:rPr>
              <w:t xml:space="preserve">第11.1款</w:t>
            </w:r>
            <w:r/>
          </w:p>
        </w:tc>
        <w:tc>
          <w:tcPr>
            <w:tcW w:w="1742" w:type="dxa"/>
            <w:vAlign w:val="center"/>
            <w:textDirection w:val="lrTb"/>
            <w:noWrap w:val="false"/>
          </w:tcPr>
          <w:p>
            <w:pPr>
              <w:ind w:left="0" w:right="0"/>
              <w:jc w:val="both"/>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无</w:t>
            </w:r>
            <w:r/>
          </w:p>
        </w:tc>
      </w:tr>
      <w:tr>
        <w:trPr>
          <w:trHeight w:val="42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rPr>
              <w:t xml:space="preserve">合同价款支付</w:t>
            </w:r>
            <w:r>
              <w:rPr>
                <w:rFonts w:hint="eastAsia" w:ascii="宋体" w:hAnsi="宋体"/>
                <w:color w:val="auto"/>
                <w:szCs w:val="21"/>
                <w:highlight w:val="none"/>
                <w:lang w:eastAsia="zh-CN"/>
              </w:rPr>
              <w:t xml:space="preserve">时间</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等线" w:hAnsi="等线"/>
                <w:color w:val="auto"/>
                <w:szCs w:val="22"/>
                <w:highlight w:val="none"/>
              </w:rPr>
              <w:suppressLineNumbers w:val="0"/>
            </w:pPr>
            <w:r>
              <w:rPr>
                <w:rFonts w:hint="eastAsia" w:ascii="等线" w:hAnsi="等线"/>
                <w:color w:val="auto"/>
                <w:szCs w:val="22"/>
                <w:highlight w:val="none"/>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13.2</w:t>
            </w:r>
            <w:r>
              <w:rPr>
                <w:rFonts w:hint="eastAsia" w:ascii="宋体" w:hAnsi="宋体"/>
                <w:color w:val="auto"/>
                <w:szCs w:val="21"/>
                <w:highlight w:val="none"/>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default" w:ascii="宋体" w:hAnsi="宋体" w:eastAsia="宋体"/>
                <w:color w:val="auto"/>
                <w:szCs w:val="21"/>
                <w:highlight w:val="none"/>
                <w:lang w:val="en-US" w:eastAsia="zh-CN"/>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13.3</w:t>
            </w:r>
            <w:r>
              <w:rPr>
                <w:rFonts w:hint="eastAsia" w:ascii="宋体" w:hAnsi="宋体"/>
                <w:color w:val="auto"/>
                <w:szCs w:val="21"/>
                <w:highlight w:val="none"/>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履约保证金退还时间及</w:t>
            </w:r>
            <w:r>
              <w:rPr>
                <w:rFonts w:hint="eastAsia" w:ascii="宋体" w:hAnsi="宋体"/>
                <w:color w:val="auto"/>
                <w:szCs w:val="21"/>
                <w:highlight w:val="none"/>
                <w:lang w:eastAsia="zh-CN"/>
              </w:rPr>
              <w:t xml:space="preserve">逾期退还的</w:t>
            </w:r>
            <w:r>
              <w:rPr>
                <w:rFonts w:hint="eastAsia" w:ascii="宋体" w:hAnsi="宋体"/>
                <w:color w:val="auto"/>
                <w:szCs w:val="21"/>
                <w:highlight w:val="none"/>
              </w:rPr>
              <w:t xml:space="preserve">违约金</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lang w:val="en-US" w:eastAsia="zh-CN"/>
              </w:rPr>
              <w:t xml:space="preserve">供方向需方提供履约担保的担保方式为：①合同价款的10％的银行履约保函，保函有效期应至项目完工并验收合格之日止。</w:t>
            </w:r>
            <w:r>
              <w:rPr>
                <w:rFonts w:hint="default" w:ascii="宋体" w:hAnsi="宋体"/>
                <w:color w:val="auto"/>
                <w:szCs w:val="21"/>
                <w:highlight w:val="none"/>
                <w:lang w:val="en-US" w:eastAsia="zh-CN"/>
              </w:rPr>
              <w:t xml:space="preserve">②</w:t>
            </w:r>
            <w:r>
              <w:rPr>
                <w:rFonts w:ascii="宋体" w:hAnsi="宋体"/>
                <w:color w:val="auto"/>
                <w:szCs w:val="21"/>
                <w:highlight w:val="none"/>
                <w:lang w:val="en-US" w:eastAsia="zh-CN"/>
              </w:rPr>
              <w:t xml:space="preserve">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color w:val="auto"/>
                <w:szCs w:val="21"/>
                <w:highlight w:val="none"/>
                <w:lang w:val="en-US" w:eastAsia="zh-CN"/>
              </w:rPr>
              <w:t xml:space="preserve">，</w:t>
            </w:r>
            <w:r>
              <w:rPr>
                <w:rFonts w:ascii="宋体" w:hAnsi="宋体"/>
                <w:color w:val="auto"/>
                <w:szCs w:val="21"/>
                <w:highlight w:val="none"/>
                <w:lang w:val="en-US" w:eastAsia="zh-CN"/>
              </w:rPr>
              <w:t xml:space="preserve">担保机构或保险机构应为国有融资性担保公司。</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val="en-US" w:eastAsia="zh-CN"/>
              </w:rPr>
              <w:suppressLineNumbers w:val="0"/>
            </w:pPr>
            <w:r>
              <w:rPr>
                <w:rFonts w:hint="eastAsia" w:ascii="宋体" w:hAnsi="宋体" w:eastAsia="宋体"/>
                <w:color w:val="auto"/>
                <w:szCs w:val="21"/>
                <w:highlight w:val="none"/>
                <w:lang w:val="en-US" w:eastAsia="zh-CN"/>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default" w:ascii="宋体" w:hAnsi="宋体" w:eastAsia="宋体"/>
                <w:color w:val="auto"/>
                <w:szCs w:val="21"/>
                <w:highlight w:val="none"/>
                <w:lang w:val="en-US" w:eastAsia="zh-CN"/>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.2（2）项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u w:val="single"/>
                <w:lang w:val="en-US" w:eastAsia="zh-CN"/>
              </w:rPr>
              <w:suppressLineNumbers w:val="0"/>
            </w:pPr>
            <w:r>
              <w:rPr>
                <w:rFonts w:hint="default" w:ascii="宋体" w:hAnsi="宋体" w:eastAsia="宋体"/>
                <w:color w:val="auto"/>
                <w:szCs w:val="21"/>
                <w:highlight w:val="none"/>
                <w:u w:val="single"/>
                <w:lang w:val="en-US" w:eastAsia="zh-CN"/>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u w:val="single"/>
                <w:lang w:val="en-US" w:eastAsia="zh-CN"/>
              </w:rPr>
              <w:suppressLineNumbers w:val="0"/>
            </w:pPr>
            <w:r>
              <w:rPr>
                <w:rFonts w:hint="default" w:ascii="宋体" w:hAnsi="宋体" w:eastAsia="宋体"/>
                <w:color w:val="auto"/>
                <w:szCs w:val="21"/>
                <w:highlight w:val="none"/>
                <w:u w:val="single"/>
                <w:lang w:val="en-US" w:eastAsia="zh-CN"/>
              </w:rPr>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2．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3．由于需方的原因要求延期交货，需方应按规定承付货款，并承担供方提供的代为保管费。（有关仓储规定另议）</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4．供方如无不可抗力，又未履行采购文件、投标文件和合同条款的，一经查实，由供方赔偿由此给需方造成的损失，并按照合同总价的30%向需方支付违约金，因招、投标产生的其他责任及后果按采购文件的相关要求及处理方式执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5．由于供方提供货物质量和调试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cs="Times New Roman"/>
                <w:color w:val="auto"/>
                <w:spacing w:val="0"/>
                <w:szCs w:val="22"/>
                <w:highlight w:val="none"/>
                <w:lang w:val="en-US" w:eastAsia="zh-CN"/>
              </w:rPr>
              <w:t xml:space="preserve">6</w:t>
            </w:r>
            <w:r>
              <w:rPr>
                <w:rFonts w:hint="eastAsia" w:ascii="等线" w:hAnsi="等线" w:eastAsia="等线" w:cs="Times New Roman"/>
                <w:color w:val="auto"/>
                <w:spacing w:val="0"/>
                <w:szCs w:val="22"/>
                <w:highlight w:val="none"/>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cs="Times New Roman"/>
                <w:color w:val="auto"/>
                <w:spacing w:val="0"/>
                <w:szCs w:val="22"/>
                <w:highlight w:val="none"/>
                <w:lang w:val="en-US" w:eastAsia="zh-CN"/>
              </w:rPr>
              <w:t xml:space="preserve">7</w:t>
            </w:r>
            <w:r>
              <w:rPr>
                <w:rFonts w:hint="eastAsia" w:ascii="等线" w:hAnsi="等线" w:eastAsia="等线" w:cs="Times New Roman"/>
                <w:color w:val="auto"/>
                <w:spacing w:val="0"/>
                <w:szCs w:val="22"/>
                <w:highlight w:val="none"/>
              </w:rPr>
              <w:t xml:space="preserve">．关于项目经理每月在</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现场的时间要求：项目经理必须每周到现场不少于5天，每天不少于8小时，由监理人或需方考核。</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cs="Times New Roman"/>
                <w:color w:val="auto"/>
                <w:spacing w:val="0"/>
                <w:szCs w:val="22"/>
                <w:highlight w:val="none"/>
                <w:lang w:val="en-US" w:eastAsia="zh-CN"/>
              </w:rPr>
              <w:t xml:space="preserve">8</w:t>
            </w:r>
            <w:r>
              <w:rPr>
                <w:rFonts w:hint="eastAsia" w:ascii="等线" w:hAnsi="等线" w:eastAsia="等线" w:cs="Times New Roman"/>
                <w:color w:val="auto"/>
                <w:spacing w:val="0"/>
                <w:szCs w:val="22"/>
                <w:highlight w:val="none"/>
              </w:rPr>
              <w:t xml:space="preserve">.供方未提交劳动合同，以及没有为项目经理缴纳社会保险证明的违约责任：按通用条款执行。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cs="Times New Roman"/>
                <w:color w:val="auto"/>
                <w:spacing w:val="0"/>
                <w:szCs w:val="22"/>
                <w:highlight w:val="none"/>
                <w:lang w:val="en-US" w:eastAsia="zh-CN"/>
              </w:rPr>
              <w:t xml:space="preserve">9</w:t>
            </w:r>
            <w:r>
              <w:rPr>
                <w:rFonts w:hint="eastAsia" w:ascii="等线" w:hAnsi="等线" w:eastAsia="等线" w:cs="Times New Roman"/>
                <w:color w:val="auto"/>
                <w:spacing w:val="0"/>
                <w:szCs w:val="22"/>
                <w:highlight w:val="none"/>
              </w:rPr>
              <w:t xml:space="preserve">.项目经理未经批准，擅自离开</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现场的违约责任：若发现一次不在现场罚款3000元。在供方项目款中扣除；如发生三次或以上时，需方有权扣除合同价的5%的作为违约金、直至终止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合同并同时没收履约保证金，并报上级行业行政主管部门。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w:t>
            </w:r>
            <w:r>
              <w:rPr>
                <w:rFonts w:hint="eastAsia" w:cs="Times New Roman"/>
                <w:color w:val="auto"/>
                <w:spacing w:val="0"/>
                <w:szCs w:val="22"/>
                <w:highlight w:val="none"/>
                <w:lang w:val="en-US" w:eastAsia="zh-CN"/>
              </w:rPr>
              <w:t xml:space="preserve">0</w:t>
            </w:r>
            <w:r>
              <w:rPr>
                <w:rFonts w:hint="eastAsia" w:ascii="等线" w:hAnsi="等线" w:eastAsia="等线" w:cs="Times New Roman"/>
                <w:color w:val="auto"/>
                <w:spacing w:val="0"/>
                <w:szCs w:val="22"/>
                <w:highlight w:val="none"/>
              </w:rPr>
              <w:t xml:space="preserve">.供方擅自更换项目经理的违约责任：供方承担20万元/次的违约责任，并在3天内整改到位；否则，需方有权终止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合同并同时没收履约保证金，并报上级行业行政主管部门。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供方无正当理由拒绝更换项目经理的违约责任：供方承担，需方有权扣除合同价的5%作为违约金直至终止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如果确需更换项目经理，应事先征得监理人和需方书面同意，即便需方同意供方更换项目经理的，供方仍将承担10万元/次的违约责任，需方有权从供方项目款中直接扣除。如发生更换项目经理三次或以上时，需方有权扣除合同价的5%的作为违约金、直至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合同并同时没收履约保证金。</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w:t>
            </w:r>
            <w:r>
              <w:rPr>
                <w:rFonts w:hint="eastAsia" w:cs="Times New Roman"/>
                <w:color w:val="auto"/>
                <w:spacing w:val="0"/>
                <w:szCs w:val="22"/>
                <w:highlight w:val="none"/>
                <w:lang w:val="en-US" w:eastAsia="zh-CN"/>
              </w:rPr>
              <w:t xml:space="preserve">1</w:t>
            </w:r>
            <w:r>
              <w:rPr>
                <w:rFonts w:hint="eastAsia" w:ascii="等线" w:hAnsi="等线" w:eastAsia="等线" w:cs="Times New Roman"/>
                <w:color w:val="auto"/>
                <w:spacing w:val="0"/>
                <w:szCs w:val="22"/>
                <w:highlight w:val="none"/>
              </w:rPr>
              <w:t xml:space="preserve">.供方人员的要求</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供方提交项目管理机构及</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现场管理人员安排报告的期限：合同生效后7天内供方无正当理由拒绝撤换主要</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管理人员的违约责任：供方承担，需方有权扣除合同价的5%作为违约金直至终止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供方主要调试管理人员离开</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现场的批准要求：需方和监理人双方批准。</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供方擅自更换主要</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管理人员的违约责任：供方承担5万元/次的违约责任，并在3天内整改到位；否则，需方有权终止采购合同并同时没收履约保证金，并报上级行业行政主管部门。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供方主要</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管理人员擅自离开</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现场的违约责任：供方承担2万元/次的违约责任，并在3天内整改到位；否则，需方有权终止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合同并同时没收履约保证金，并报上级行业行政主管部门。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即便需方同意供方更换主要调试管理人员的，供方仍将承担3万元/次的违约责任，需方有权从供方项目款中直接扣除。</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w:t>
            </w:r>
            <w:r>
              <w:rPr>
                <w:rFonts w:hint="eastAsia" w:cs="Times New Roman"/>
                <w:color w:val="auto"/>
                <w:spacing w:val="0"/>
                <w:szCs w:val="22"/>
                <w:highlight w:val="none"/>
                <w:lang w:val="en-US" w:eastAsia="zh-CN"/>
              </w:rPr>
              <w:t xml:space="preserve">2</w:t>
            </w:r>
            <w:r>
              <w:rPr>
                <w:rFonts w:hint="eastAsia" w:ascii="等线" w:hAnsi="等线" w:eastAsia="等线" w:cs="Times New Roman"/>
                <w:color w:val="auto"/>
                <w:spacing w:val="0"/>
                <w:szCs w:val="22"/>
                <w:highlight w:val="none"/>
              </w:rPr>
              <w:t xml:space="preserve">.如果监理人或需方认为委派的项目负责人、主要工作人员的工作能力、业务水平不称职，供方在接到通知后，应尽快撤回上述人员，同时委派需方同意的新的项目负责人或主要工作人员，否则视为供方违约，需方有权扣除中标价的5%的违约金直至终止合同并没收履约保证金。</w:t>
            </w:r>
            <w:r/>
          </w:p>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hint="eastAsia" w:ascii="等线" w:hAnsi="等线" w:eastAsia="等线" w:cs="Times New Roman"/>
                <w:color w:val="auto"/>
                <w:spacing w:val="0"/>
                <w:szCs w:val="22"/>
                <w:highlight w:val="none"/>
              </w:rPr>
              <w:t xml:space="preserve">供方在投标书所列的各类专业技术人员、质检人员、管理人员，未经需方批准，不准无故不到位或被替换，若确实无法到位或需替换，应安排同等资历的人员且经需方批准。尽管供方已按投标承诺派遣了各类人员，如果需方认为这些人员仍不足适应现场需要且无法保证项目质量时，需方有权要求供方增派人员，供方在接到通知后应立即执行，不得无故拖延。否则视为供方违约，需方有权扣除中标价的5%的违约金直至终止合同并没收履约保证金。</w:t>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val="0"/>
                <w:bCs w:val="0"/>
                <w:iCs/>
                <w:color w:val="auto"/>
                <w:szCs w:val="21"/>
                <w:highlight w:val="none"/>
              </w:rPr>
              <w:suppressLineNumbers w:val="0"/>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cs="宋体"/>
                <w:b w:val="0"/>
                <w:bCs w:val="0"/>
                <w:iCs/>
                <w:color w:val="auto"/>
                <w:szCs w:val="21"/>
                <w:highlight w:val="none"/>
                <w:u w:val="single"/>
                <w:lang w:val="en-US" w:eastAsia="zh-CN"/>
              </w:rPr>
              <w:t xml:space="preserve">    </w:t>
            </w:r>
            <w:r>
              <w:rPr>
                <w:rFonts w:hint="eastAsia" w:ascii="宋体" w:hAnsi="宋体" w:eastAsia="宋体" w:cs="宋体"/>
                <w:b w:val="0"/>
                <w:bCs w:val="0"/>
                <w:iCs/>
                <w:color w:val="auto"/>
                <w:szCs w:val="21"/>
                <w:highlight w:val="none"/>
              </w:rPr>
              <w:t xml:space="preserve">种方式解决：</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val="0"/>
                <w:bCs w:val="0"/>
                <w:iCs/>
                <w:color w:val="auto"/>
                <w:szCs w:val="21"/>
                <w:highlight w:val="none"/>
              </w:rPr>
              <w:suppressLineNumbers w:val="0"/>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left="0" w:right="0" w:firstLine="0"/>
              <w:jc w:val="both"/>
              <w:keepLines w:val="0"/>
              <w:keepNext w:val="0"/>
              <w:pageBreakBefore w:val="0"/>
              <w:spacing w:before="0" w:beforeAutospacing="0" w:after="0" w:afterAutospacing="0" w:line="400" w:lineRule="exact"/>
              <w:widowControl w:val="off"/>
              <w:rPr>
                <w:rFonts w:ascii="宋体" w:hAnsi="宋体"/>
                <w:color w:val="auto"/>
                <w:szCs w:val="21"/>
                <w:highlight w:val="none"/>
                <w:u w:val="single"/>
              </w:rPr>
              <w:suppressLineNumbers w:val="0"/>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         </w:t>
            </w:r>
            <w:r>
              <w:rPr>
                <w:rFonts w:hint="eastAsia" w:ascii="宋体" w:hAnsi="宋体" w:eastAsia="宋体" w:cs="宋体"/>
                <w:b w:val="0"/>
                <w:bCs w:val="0"/>
                <w:iCs/>
                <w:color w:val="auto"/>
                <w:szCs w:val="21"/>
                <w:highlight w:val="none"/>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第2</w:t>
            </w:r>
            <w:r>
              <w:rPr>
                <w:rFonts w:hint="eastAsia" w:ascii="宋体" w:hAnsi="宋体"/>
                <w:color w:val="auto"/>
                <w:szCs w:val="21"/>
                <w:highlight w:val="none"/>
                <w:lang w:val="en-US" w:eastAsia="zh-CN"/>
              </w:rPr>
              <w:t xml:space="preserve">3.1</w:t>
            </w:r>
            <w:r>
              <w:rPr>
                <w:rFonts w:hint="eastAsia" w:ascii="宋体" w:hAnsi="宋体"/>
                <w:color w:val="auto"/>
                <w:szCs w:val="21"/>
                <w:highlight w:val="none"/>
                <w:lang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numPr>
                <w:ilvl w:val="-1"/>
                <w:numId w:val="0"/>
              </w:numPr>
              <w:contextualSpacing w:val="0"/>
              <w:ind w:left="0" w:right="0" w:firstLine="0"/>
              <w:jc w:val="left"/>
              <w:keepLines w:val="0"/>
              <w:keepNext w:val="0"/>
              <w:pageBreakBefore w:val="0"/>
              <w:spacing w:before="0" w:beforeAutospacing="0" w:after="0" w:afterAutospacing="0" w:line="240" w:lineRule="auto"/>
              <w:shd w:val="clear" w:color="auto"/>
              <w:widowControl/>
              <w:rPr>
                <w:rFonts w:hint="eastAsia" w:ascii="等线" w:hAnsi="等线" w:eastAsia="等线"/>
                <w:color w:val="auto"/>
                <w:spacing w:val="0"/>
                <w:szCs w:val="22"/>
                <w:highlight w:val="none"/>
              </w:rPr>
              <w:suppressLineNumbers w:val="0"/>
            </w:pPr>
            <w:r>
              <w:rPr>
                <w:rFonts w:hint="default" w:ascii="宋体" w:hAnsi="宋体" w:eastAsia="宋体"/>
                <w:color w:val="auto"/>
                <w:spacing w:val="0"/>
                <w:szCs w:val="21"/>
                <w:highlight w:val="none"/>
                <w:lang w:val="en-US" w:eastAsia="zh-CN"/>
              </w:rPr>
              <w:t xml:space="preserve">（</w:t>
            </w:r>
            <w:r>
              <w:rPr>
                <w:rFonts w:hint="eastAsia" w:ascii="等线" w:hAnsi="等线" w:eastAsia="等线"/>
                <w:color w:val="auto"/>
                <w:spacing w:val="0"/>
                <w:szCs w:val="22"/>
                <w:highlight w:val="none"/>
                <w:lang w:val="en-US" w:eastAsia="zh-CN"/>
              </w:rPr>
              <w:t xml:space="preserve">一）知识产权：</w:t>
            </w:r>
            <w:r>
              <w:rPr>
                <w:rFonts w:hint="eastAsia" w:ascii="等线" w:hAnsi="等线" w:eastAsia="等线"/>
                <w:color w:val="auto"/>
                <w:spacing w:val="0"/>
                <w:szCs w:val="22"/>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olor w:val="auto"/>
                <w:spacing w:val="0"/>
                <w:szCs w:val="22"/>
                <w:highlight w:val="none"/>
                <w:lang w:eastAsia="zh-CN"/>
              </w:rPr>
              <w:t xml:space="preserve">（</w:t>
            </w:r>
            <w:r>
              <w:rPr>
                <w:rFonts w:hint="eastAsia" w:ascii="等线" w:hAnsi="等线" w:eastAsia="等线"/>
                <w:color w:val="auto"/>
                <w:spacing w:val="0"/>
                <w:szCs w:val="22"/>
                <w:highlight w:val="none"/>
                <w:lang w:val="en-US" w:eastAsia="zh-CN"/>
              </w:rPr>
              <w:t xml:space="preserve">二</w:t>
            </w:r>
            <w:r>
              <w:rPr>
                <w:rFonts w:hint="eastAsia" w:ascii="等线" w:hAnsi="等线" w:eastAsia="等线"/>
                <w:color w:val="auto"/>
                <w:spacing w:val="0"/>
                <w:szCs w:val="22"/>
                <w:highlight w:val="none"/>
                <w:lang w:eastAsia="zh-CN"/>
              </w:rPr>
              <w:t xml:space="preserve">）</w:t>
            </w:r>
            <w:r>
              <w:rPr>
                <w:rFonts w:hint="eastAsia" w:ascii="等线" w:hAnsi="等线" w:eastAsia="等线" w:cs="Times New Roman"/>
                <w:color w:val="auto"/>
                <w:spacing w:val="0"/>
                <w:szCs w:val="22"/>
                <w:highlight w:val="none"/>
              </w:rPr>
              <w:t xml:space="preserve">质量与检验：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3．货物的到货验收包括：数量、外观、质量、性能、随机备件、装箱单、质量证书等随机资料及包装完整无破损。</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4．货物和系统调试验收标准：按行业通行标准、厂方出厂标准、采购文件要求和供方投标文件的承诺，并不低于国家相关标准。</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5．货物运到需方指定地点并经需方验证签收后，由于需方保管不善造成的质量问题，供方应负责修理，但有关费用由需方承担。</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6. 需方应在货物运到并接到供方通知后及时按照招投标文件的约定组织验收。在验收过程中产生的质量及其他问题，需方须及时提出异议并向招标代理反馈并提出相应处理意见。供方在接到需方异议后应立即整改，否则承担违约责任。</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7. 需方不得擅自变更招投标文件约定的性能、指标等相关内容，如有变更应按《中华人民共和国招标投标法》等法律法规的相关程序执行。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8</w:t>
            </w:r>
            <w:r>
              <w:rPr>
                <w:rFonts w:hint="eastAsia" w:ascii="等线" w:hAnsi="等线" w:eastAsia="等线" w:cs="Times New Roman"/>
                <w:color w:val="auto"/>
                <w:spacing w:val="0"/>
                <w:szCs w:val="22"/>
                <w:highlight w:val="none"/>
              </w:rPr>
              <w:t xml:space="preserve">.结算审计：供方完工验收合格后20个工作日内向招标人提交完整的结算资料，由招标人组织结算审计，30个工作日内完成结算审核工作。审计结果由需方和供方双方确认后作为结算依据，结算审计审减率在5% (含5%)以内的，审计费由需方承担；审减率大于5%而小于等于10%（含）的，审计费用由需方、供方各半承担，并由供方按审定价的2%向需方支付违约金，供方承担的审计费用及违约金在采购审定价内扣除；审减率大于10%，审计费用由供方全额承担，并由供方按审定价的3%向需方支付违约金，供方承担的审计费用及违约金在采购审定价内扣除。</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因供方原因未在通过项目交工验收90天内将完整的结算资料送交给需方，逾期由需方向供方按3000元/天收取违约金，上限为审定价的1%且不超过30万元，需方有权在应付款中直接予以扣除。</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若供方的投标文件中有漏项或未完善部分，则只作为投供方的让利，不得在竣工结算中再行计算。</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9．合同履行期间，若采购清单中材料设备参数出现企业报备或锁定或哄抬物价情况时，需方有权选择高于原档次的品牌且不增加费用。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w:t>
            </w:r>
            <w:r>
              <w:rPr>
                <w:rFonts w:hint="eastAsia" w:ascii="等线" w:hAnsi="等线" w:eastAsia="等线" w:cs="Times New Roman"/>
                <w:color w:val="auto"/>
                <w:spacing w:val="0"/>
                <w:szCs w:val="22"/>
                <w:highlight w:val="none"/>
                <w:lang w:val="en-US" w:eastAsia="zh-CN"/>
              </w:rPr>
              <w:t xml:space="preserve">三</w:t>
            </w:r>
            <w:r>
              <w:rPr>
                <w:rFonts w:hint="eastAsia" w:ascii="等线" w:hAnsi="等线" w:eastAsia="等线" w:cs="Times New Roman"/>
                <w:color w:val="auto"/>
                <w:spacing w:val="0"/>
                <w:szCs w:val="22"/>
                <w:highlight w:val="none"/>
              </w:rPr>
              <w:t xml:space="preserve">）交货条件：</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highlight w:val="none"/>
              </w:rPr>
              <w:t xml:space="preserve">1．交货日期（或完工期）：合同签订后</w:t>
            </w:r>
            <w:r>
              <w:rPr>
                <w:rFonts w:hint="eastAsia" w:ascii="等线" w:hAnsi="等线" w:cs="Times New Roman"/>
                <w:color w:val="auto"/>
                <w:spacing w:val="0"/>
                <w:highlight w:val="none"/>
                <w:u w:val="single"/>
                <w:lang w:val="en-US" w:eastAsia="zh-CN"/>
              </w:rPr>
              <w:t xml:space="preserve">     </w:t>
            </w:r>
            <w:r>
              <w:rPr>
                <w:rFonts w:hint="eastAsia" w:ascii="等线" w:hAnsi="等线" w:eastAsia="等线" w:cs="Times New Roman"/>
                <w:color w:val="auto"/>
                <w:spacing w:val="0"/>
                <w:highlight w:val="none"/>
              </w:rPr>
              <w:t xml:space="preserve">天</w:t>
            </w:r>
            <w:r>
              <w:rPr>
                <w:rFonts w:hint="eastAsia" w:ascii="等线" w:hAnsi="等线" w:eastAsia="等线" w:cs="Times New Roman"/>
                <w:color w:val="auto"/>
                <w:spacing w:val="0"/>
                <w:szCs w:val="22"/>
                <w:highlight w:val="none"/>
              </w:rPr>
              <w:t xml:space="preserve">内完成全部供货、调试等相关服务，误期违约金2000元/天，需方有权在应付款中直接予以扣除。</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2．供方在验收时应先用信函、传真、电子邮件等书面方式通知需方。</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4.货物交货时，所有货物必须带有货物质量检验合格证书、中文质保单、装箱单、中文货物使用说明书。其他附件所有部件必须原包装。</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5. 运输及到货地点：由供方负责办理运输并承担所有费用，直接送到需方指定地点，即：以合同书上的地点为准。</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w:t>
            </w:r>
            <w:r>
              <w:rPr>
                <w:rFonts w:hint="eastAsia" w:ascii="等线" w:hAnsi="等线" w:eastAsia="等线" w:cs="Times New Roman"/>
                <w:color w:val="auto"/>
                <w:spacing w:val="0"/>
                <w:szCs w:val="22"/>
                <w:highlight w:val="none"/>
                <w:lang w:val="en-US" w:eastAsia="zh-CN"/>
              </w:rPr>
              <w:t xml:space="preserve">四</w:t>
            </w:r>
            <w:r>
              <w:rPr>
                <w:rFonts w:hint="eastAsia" w:ascii="等线" w:hAnsi="等线" w:eastAsia="等线" w:cs="Times New Roman"/>
                <w:color w:val="auto"/>
                <w:spacing w:val="0"/>
                <w:szCs w:val="22"/>
                <w:highlight w:val="none"/>
              </w:rPr>
              <w:t xml:space="preserve">）调试及售后服务：</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 供方负责本项目的调试，并保证其提供的货物符合国家、行业、地方、招投标文件及合同规定的质量、性能和标准，并正确且安全地达到正常运行状态。</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2. 供方提供的服务全部按照国家有关法律法规规章和“三包”规定以及按采购文件要求和供方投标文件中的承诺执行。</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 质保期后的货物维护由双方协商再定。</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4. 需方应向供方现场调试的技术人员及维修人员提供方便条件，有关费用由供方负责。</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5. 需方如要求供方提供采购文件及供方投标文件以外的其他服务，其费用另定。</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w:t>
            </w:r>
            <w:r>
              <w:rPr>
                <w:rFonts w:hint="eastAsia" w:ascii="等线" w:hAnsi="等线" w:eastAsia="等线" w:cs="Times New Roman"/>
                <w:color w:val="auto"/>
                <w:spacing w:val="0"/>
                <w:szCs w:val="22"/>
                <w:highlight w:val="none"/>
                <w:lang w:val="en-US" w:eastAsia="zh-CN"/>
              </w:rPr>
              <w:t xml:space="preserve">五</w:t>
            </w:r>
            <w:r>
              <w:rPr>
                <w:rFonts w:hint="eastAsia" w:ascii="等线" w:hAnsi="等线" w:eastAsia="等线" w:cs="Times New Roman"/>
                <w:color w:val="auto"/>
                <w:spacing w:val="0"/>
                <w:szCs w:val="22"/>
                <w:highlight w:val="none"/>
              </w:rPr>
              <w:t xml:space="preserve">）合同生效及其他：</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1．合同经供需双方</w:t>
            </w:r>
            <w:r>
              <w:rPr>
                <w:rFonts w:hint="eastAsia" w:ascii="等线" w:hAnsi="等线" w:eastAsia="等线" w:cs="Times New Roman"/>
                <w:color w:val="auto"/>
                <w:spacing w:val="0"/>
                <w:szCs w:val="22"/>
                <w:highlight w:val="none"/>
                <w:lang w:val="en-US" w:eastAsia="zh-CN"/>
              </w:rPr>
              <w:t xml:space="preserve">签字盖章后</w:t>
            </w:r>
            <w:r>
              <w:rPr>
                <w:rFonts w:hint="eastAsia" w:ascii="等线" w:hAnsi="等线" w:eastAsia="等线" w:cs="Times New Roman"/>
                <w:color w:val="auto"/>
                <w:spacing w:val="0"/>
                <w:szCs w:val="22"/>
                <w:highlight w:val="none"/>
              </w:rPr>
              <w:t xml:space="preserve">生效。</w:t>
            </w:r>
            <w:r/>
          </w:p>
          <w:p>
            <w:pPr>
              <w:numPr>
                <w:ilvl w:val="-1"/>
                <w:numId w:val="0"/>
              </w:numPr>
              <w:ind w:left="0" w:right="0"/>
              <w:jc w:val="left"/>
              <w:keepLines w:val="0"/>
              <w:keepNext w:val="0"/>
              <w:spacing w:before="0" w:beforeAutospacing="0" w:after="0" w:afterAutospacing="0"/>
              <w:widowControl/>
              <w:rPr>
                <w:rFonts w:hint="eastAsia" w:ascii="等线" w:hAnsi="等线" w:eastAsia="等线"/>
                <w:color w:val="auto"/>
                <w:szCs w:val="22"/>
                <w:highlight w:val="none"/>
              </w:rPr>
              <w:suppressLineNumbers w:val="0"/>
            </w:pPr>
            <w:r>
              <w:rPr>
                <w:rFonts w:hint="eastAsia" w:ascii="等线" w:hAnsi="等线" w:eastAsia="等线" w:cs="Times New Roman"/>
                <w:color w:val="auto"/>
                <w:spacing w:val="0"/>
                <w:szCs w:val="22"/>
                <w:highlight w:val="none"/>
              </w:rPr>
              <w:t xml:space="preserve">2．合同签订后供需双方即直接产生权利与义务的关系，合同执行过程中出现的问题应按照合同约定、法律法规的规定办理，在合同履行过程中，双方如有争议，由招标代理协调解决。如协商不能解决，</w:t>
            </w:r>
            <w:r>
              <w:rPr>
                <w:rFonts w:hint="eastAsia" w:ascii="等线" w:hAnsi="等线" w:eastAsia="等线" w:cs="Times New Roman"/>
                <w:color w:val="auto"/>
                <w:spacing w:val="0"/>
                <w:szCs w:val="22"/>
                <w:highlight w:val="none"/>
                <w:lang w:val="en-US" w:eastAsia="zh-CN"/>
              </w:rPr>
              <w:t xml:space="preserve">提交无锡市锡山区人民法院诉讼解决。</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3．合同在执行过程中出现的未尽事宜，双方在不违背本合同和采购文件的原则下协商解决，协商结果以书面形式签订补充协议，且补充协议与本合同具有同等效力。</w:t>
            </w:r>
            <w:r/>
          </w:p>
          <w:p>
            <w:pPr>
              <w:numPr>
                <w:ilvl w:val="-1"/>
                <w:numId w:val="0"/>
              </w:numPr>
              <w:ind w:left="0" w:right="0"/>
              <w:jc w:val="left"/>
              <w:keepLines w:val="0"/>
              <w:keepNext w:val="0"/>
              <w:spacing w:before="0" w:beforeAutospacing="0" w:after="0" w:afterAutospacing="0" w:line="240" w:lineRule="auto"/>
              <w:widowControl/>
              <w:rPr>
                <w:rFonts w:hint="default" w:ascii="宋体" w:hAnsi="宋体" w:eastAsia="宋体"/>
                <w:color w:val="auto"/>
                <w:szCs w:val="21"/>
                <w:highlight w:val="none"/>
                <w:lang w:val="en-US" w:eastAsia="zh-CN"/>
              </w:rPr>
              <w:suppressLineNumbers w:val="0"/>
            </w:pPr>
            <w:r>
              <w:rPr>
                <w:rFonts w:hint="eastAsia" w:ascii="等线" w:hAnsi="等线" w:eastAsia="等线" w:cs="Times New Roman"/>
                <w:color w:val="auto"/>
                <w:spacing w:val="0"/>
                <w:szCs w:val="22"/>
                <w:highlight w:val="none"/>
              </w:rPr>
              <w:t xml:space="preserve">4.供需双方确认：对本合同条款及后果均已知悉，一致确认不存在欺诈、胁迫、乘人之危、重大误解、显失公平等任何可能导致合同无效或被撤销的情形</w:t>
            </w:r>
            <w:r>
              <w:rPr>
                <w:rFonts w:hint="eastAsia" w:ascii="等线" w:hAnsi="等线" w:eastAsia="等线" w:cs="Times New Roman"/>
                <w:color w:val="auto"/>
                <w:spacing w:val="0"/>
                <w:sz w:val="21"/>
                <w:szCs w:val="22"/>
                <w:highlight w:val="none"/>
              </w:rPr>
              <w:t xml:space="preserve">。</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p>
      <w:pPr>
        <w:ind w:firstLine="643"/>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outlineLvl w:val="1"/>
      </w:pPr>
      <w:r>
        <w:rPr>
          <w:rFonts w:hint="eastAsia" w:asciiTheme="minorEastAsia" w:hAnsiTheme="minorEastAsia" w:eastAsiaTheme="minorEastAsia" w:cstheme="minorEastAsia"/>
          <w:b/>
          <w:bCs/>
          <w:color w:val="auto"/>
          <w:sz w:val="32"/>
          <w:szCs w:val="32"/>
          <w:highlight w:val="none"/>
          <w:lang w:val="en-US" w:eastAsia="zh-CN"/>
        </w:rPr>
        <w:t xml:space="preserve">合同附件</w:t>
      </w:r>
      <w:r/>
    </w:p>
    <w:p>
      <w:pPr>
        <w:ind w:firstLine="643"/>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合同附件一、</w:t>
      </w:r>
      <w:r/>
    </w:p>
    <w:p>
      <w:pPr>
        <w:ind w:firstLine="643"/>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安全生产协议书</w:t>
      </w:r>
      <w:r/>
    </w:p>
    <w:p>
      <w:pPr>
        <w:ind w:firstLine="560"/>
        <w:keepLines w:val="0"/>
        <w:keepNext w:val="0"/>
        <w:pageBreakBefore w:val="0"/>
        <w:spacing w:line="36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甲方：</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default"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乙方：</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为了加强现场安全生产的管理，保障本项目顺利进行，双方本着平等、自愿的原则，签订本协议。甲、乙双方均应严格遵守本协议书规定的权利、责任和义务，确保本项目安全生产。</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一、甲方职责</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1.严格遵守国家有关安全生产的法律法规，认真执行合同中的有关安全要求。</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2.按照"安全第一，预防为主"和坚持"管生产必须管安全"的原则进行安全生产管理，做到生产与安全工作同时计划，布置，检查，总结和评比。</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3.重要的安全设施必须坚持与主体工程"三同时"的原则，即:同时设计，审批，同时施工，同时验收，投入使用。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4.定期召开安全生产调度会，及时传达地方有关安全生产的精神。</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5.组织对乙方工作现场安全检查，监督乙方及时处理发现的各种安全隐患。</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二、乙方职责</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1.严格遵守国家有关安全生产的法律法规，认真执行承包合同中的有关安全要求。</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悉和遵守本条款的各项规定，做到生产与安全工作同时的计划，布置，检查，总结和评比。</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符合要求的安全管理机构，负责所有员工的安全和治安保卫工作及预防事故的发生，安全机构人员，有权按有关规定发布指令，并采取保护性措施防止事故发生。</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4.乙方在任何时候都应采取各种合理的预防措施，防止其员工发生任何违法，违禁，暴力或妨碍治安的行为。</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5.乙方必须具有劳动安全管理部门颁发的安全生产证书，参与本项目的人员，必须接受安全技术教育，熟知和遵守本工种的各项安全技术操作规程，定期进行安全技术考核，合格者方准上岗操作。</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7.操作人员上岗，必须按规定穿戴防护用品。项目负责人和安全检查员应随时检查劳动防护用品的穿戴情况，不按规定穿戴防护用品的人员不得上岗。</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8.所有机具设备和高空作业的设备均应定期检查，并有安全员的签字记录，保证其经常处于完好状态；不合格的机具，设备和劳动保护用品严禁使用。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9.采用新技术、新工艺、新设备、新材料时，必须制定相应的安全技术措施，作业现场必须具有相关的安全标志牌。</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三、违约责任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如因甲方或乙方违约造成安全事故，将依法追究责任。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本合同一式捌份，甲方肆份，乙方肆份。由双方法定代表人或其授权的代理人签署与加盖公章后生效，全部项目验收后终止。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14"/>
        <w:ind w:firstLine="480"/>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甲方：</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乙方：</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法定代表人</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法定代表人</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或其委托代理人：</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或其委托代理人：</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sectPr>
          <w:footerReference w:type="default" r:id="rId19"/>
          <w:footnotePr/>
          <w:endnotePr/>
          <w:type w:val="nextPage"/>
          <w:pgSz w:w="11912" w:h="16851" w:orient="portrait"/>
          <w:pgMar w:top="1440" w:right="1080" w:bottom="1440" w:left="1080" w:header="0" w:footer="602" w:gutter="0"/>
          <w:cols w:num="1" w:sep="0" w:space="720" w:equalWidth="1"/>
          <w:docGrid w:linePitch="360"/>
        </w:sectPr>
      </w:pPr>
      <w:r>
        <w:rPr>
          <w:rFonts w:hint="eastAsia" w:asciiTheme="minorEastAsia" w:hAnsiTheme="minorEastAsia" w:eastAsiaTheme="minorEastAsia" w:cstheme="minorEastAsia"/>
          <w:color w:val="auto"/>
          <w:sz w:val="28"/>
          <w:szCs w:val="28"/>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合同附件二、</w:t>
      </w:r>
      <w:r/>
    </w:p>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廉政责任书</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甲方（全称）：</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乙方（全称）：</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为加强廉政建设，规范本项目各项活动中甲乙双方的行为，防止谋取不正当利益的违法违纪现象的发生，保护国家、集体和当事人的合法权益，根据国家有关法律法规和廉政建设的有关规定，订立本廉政责任书。</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一、双方的责任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1.1应严格遵守国家有关法律、法规，相关政策，以及廉政建设的各项规定。</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1.2严格执行合同文件，自觉按合同办事。</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1.3各项活动必须坚持公开、公平、公正、诚信、透明的原则（除法律法规另有规定者外），不得为获取不正当的利益，损害国家、集体和对方利益，不得违反相关规章制度。</w:t>
      </w:r>
      <w:r/>
    </w:p>
    <w:p>
      <w:pPr>
        <w:ind w:firstLine="560"/>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1.4发现对方在业务活动中有违规、违纪、违法行为的，应及时提醒对方，情节严重的，应向其</w:t>
      </w:r>
      <w:r>
        <w:rPr>
          <w:rFonts w:hint="eastAsia" w:asciiTheme="minorEastAsia" w:hAnsiTheme="minorEastAsia" w:eastAsiaTheme="minorEastAsia" w:cstheme="minorEastAsia"/>
          <w:b w:val="0"/>
          <w:bCs w:val="0"/>
          <w:color w:val="auto"/>
          <w:sz w:val="28"/>
          <w:szCs w:val="28"/>
          <w:highlight w:val="none"/>
          <w:lang w:val="en-US" w:eastAsia="zh-CN"/>
        </w:rPr>
        <w:t xml:space="preserve">上级主管部门或纪检监察、司法等有关机关举报。</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二、甲方责任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甲方的领导和从事该项目的工作人员，在本项目的事前、事中、事后应遵守以下规定：</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2.1不得向乙方和相关单位索要或接受回扣、礼金、有价证券、贵重物品和好处费、感谢费等。</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2.2不得在乙方和相关单位报销任何应由甲方或个人支付的费用。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2.3不得要求、暗示或接受乙方和相关单位为个人装修住房、婚丧嫁娶、配偶子女的工作安排以及出国（境）、旅游等提供方便。</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2.4不得参加有可能影响公正执行公务的乙方和相关单位的宴请、健身、娱乐等活动。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2.5不得向乙方和相关单位介绍或为配偶、子女、亲属参与同甲方合同有关的业务活动；不得以任何理由要求乙方和相关单位使用某种产品、材料和设备。</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三、乙方责任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应与甲方保持正常的业务交往，按照有关法律法规和程序开展业务工作，严格执行有关方针、政策，执行强制性标准，并遵守以下规定：</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3.1不得以任何理由向甲方及其工作人员索要、接受或赠送礼金、有价证券、贵重物品及回扣、好处费、感谢费等。</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3.2不得以任何理由为甲方和相关单位报销应由对方或个人支付的费用。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3.3不得接受或暗示为甲方、相关单位或个人装修住房、婚丧嫁娶、配偶子女的工作安排以及出国（境）、旅游等提供方便。</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3.4不得以任何理由为甲方、相关单位或个人组织有可能影响公正执行公务的宴请、健身、娱乐等活动。</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四、违约责任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4.1甲方工作人员有违反本责任书第一、二条责任行为的，依据有关法律、法规给予处理；涉嫌犯罪的，移交司法机关追究刑事责任；给乙方单位造成经济损失的，应予以赔偿。</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4.2乙方工作人员有违反本责任书第一、三条责任行为的，依据有关法律法规处理；涉嫌犯罪的，移交司法机关追究刑事责任；给甲方单位造成经济损失的，应予以赔偿。</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4.3本责任书作为合同的组成部分，与主合同具有同等法律效力。经双方签署后立即生效。</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五、责任书有效期</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本责任书的有效期为双方签署之日起至该项目验收合格时止。</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六、责任书份数</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本责任书一式捌份，甲方肆份，乙方肆份，具有同等效力。</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en-US"/>
        </w:rPr>
      </w:pPr>
      <w:r>
        <w:rPr>
          <w:rFonts w:hint="eastAsia" w:asciiTheme="minorEastAsia" w:hAnsiTheme="minorEastAsia" w:eastAsiaTheme="minorEastAsia" w:cstheme="minorEastAsia"/>
          <w:color w:val="auto"/>
          <w:sz w:val="28"/>
          <w:szCs w:val="28"/>
          <w:highlight w:val="none"/>
          <w:lang w:val="en-US" w:eastAsia="zh-CN"/>
        </w:rPr>
        <w:t xml:space="preserve">甲方</w:t>
      </w:r>
      <w:r>
        <w:rPr>
          <w:rFonts w:hint="eastAsia" w:asciiTheme="minorEastAsia" w:hAnsiTheme="minorEastAsia" w:eastAsiaTheme="minorEastAsia" w:cstheme="minorEastAsia"/>
          <w:color w:val="auto"/>
          <w:sz w:val="28"/>
          <w:szCs w:val="28"/>
          <w:highlight w:val="none"/>
          <w:lang w:val="en-US" w:eastAsia="en-US"/>
        </w:rPr>
        <w:t xml:space="preserve">（公章）：</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乙方</w:t>
      </w:r>
      <w:r>
        <w:rPr>
          <w:rFonts w:hint="eastAsia" w:asciiTheme="minorEastAsia" w:hAnsiTheme="minorEastAsia" w:eastAsiaTheme="minorEastAsia" w:cstheme="minorEastAsia"/>
          <w:color w:val="auto"/>
          <w:sz w:val="28"/>
          <w:szCs w:val="28"/>
          <w:highlight w:val="none"/>
          <w:lang w:val="en-US" w:eastAsia="en-US"/>
        </w:rPr>
        <w:t xml:space="preserve">（公章）：</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法定代表人（签字）：</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法定代表人（签字）：</w:t>
      </w:r>
      <w:r/>
    </w:p>
    <w:p>
      <w:pPr>
        <w:ind w:firstLine="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年</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月</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日</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年</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月</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日</w:t>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ascii="等线" w:eastAsia="等线"/>
          <w:lang w:val="en-US" w:eastAsia="zh-CN"/>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144"/>
        <w:ind w:firstLine="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outlineLvl w:val="1"/>
      </w:pPr>
      <w:r>
        <w:rPr>
          <w:rFonts w:hint="eastAsia" w:ascii="宋体" w:hAnsi="宋体" w:eastAsia="宋体" w:cs="宋体"/>
          <w:bCs/>
          <w:color w:val="auto"/>
          <w:sz w:val="24"/>
          <w:szCs w:val="24"/>
          <w:highlight w:val="none"/>
          <w:lang w:val="en-US" w:eastAsia="zh-CN" w:bidi="ar-SA"/>
        </w:rPr>
        <w:t xml:space="preserve">附件一：评分标准：</w:t>
      </w:r>
      <w:r>
        <w:rPr>
          <w:rFonts w:hint="eastAsia" w:ascii="宋体" w:hAnsi="宋体" w:eastAsia="宋体" w:cs="宋体"/>
          <w:color w:val="auto"/>
          <w:sz w:val="24"/>
          <w:highlight w:val="none"/>
        </w:rPr>
        <w:t xml:space="preserve">（总分100分）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color w:val="auto"/>
          <w:sz w:val="24"/>
          <w:szCs w:val="24"/>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auto"/>
          <w:sz w:val="24"/>
          <w:szCs w:val="24"/>
          <w:highlight w:val="none"/>
        </w:rPr>
        <w:t xml:space="preserve">未列入本评分标准的其他条件不作为评分内容。</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具体评分标准如下：</w:t>
      </w:r>
      <w:r/>
    </w:p>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1、投标报价                                                     42分</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37" w:name="OLE_LINK8"/>
      <w:r>
        <w:rPr>
          <w:rFonts w:hint="eastAsia" w:ascii="宋体" w:hAnsi="宋体" w:eastAsia="宋体" w:cs="宋体"/>
          <w:bCs/>
          <w:color w:val="auto"/>
          <w:sz w:val="24"/>
          <w:szCs w:val="24"/>
          <w:highlight w:val="none"/>
          <w:lang w:val="en-US" w:eastAsia="zh-CN"/>
        </w:rPr>
        <w:t xml:space="preserve">2、综合能力评价</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bookmarkEnd w:id="37"/>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3、技术</w:t>
      </w:r>
      <w:r>
        <w:rPr>
          <w:rFonts w:hint="eastAsia" w:ascii="宋体" w:hAnsi="宋体" w:eastAsia="宋体" w:cs="宋体"/>
          <w:bCs/>
          <w:color w:val="auto"/>
          <w:sz w:val="24"/>
          <w:szCs w:val="24"/>
          <w:highlight w:val="none"/>
        </w:rPr>
        <w:t xml:space="preserve">方案</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暗标</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47</w:t>
      </w:r>
      <w:r>
        <w:rPr>
          <w:rFonts w:hint="eastAsia" w:ascii="宋体" w:hAnsi="宋体" w:eastAsia="宋体" w:cs="宋体"/>
          <w:bCs/>
          <w:color w:val="auto"/>
          <w:sz w:val="24"/>
          <w:szCs w:val="24"/>
          <w:highlight w:val="none"/>
        </w:rPr>
        <w:t xml:space="preserve">分</w:t>
      </w:r>
      <w:r/>
    </w:p>
    <w:p>
      <w:pP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政策加分                                                     3分</w:t>
      </w:r>
      <w:r/>
    </w:p>
    <w:p>
      <w:pPr>
        <w:pStyle w:val="1144"/>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一、投标报价（</w:t>
      </w:r>
      <w:r>
        <w:rPr>
          <w:rFonts w:hint="eastAsia" w:ascii="宋体" w:hAnsi="宋体" w:cs="宋体"/>
          <w:b/>
          <w:bCs/>
          <w:color w:val="auto"/>
          <w:sz w:val="24"/>
          <w:highlight w:val="none"/>
          <w:lang w:val="en-US" w:eastAsia="zh-CN"/>
        </w:rPr>
        <w:t xml:space="preserve">42</w:t>
      </w:r>
      <w:r>
        <w:rPr>
          <w:rFonts w:hint="eastAsia" w:ascii="宋体" w:hAnsi="宋体" w:eastAsia="宋体" w:cs="宋体"/>
          <w:b/>
          <w:bCs/>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价格扣除：专门面向中小/小微企业的项目除外。</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关于</w:t>
      </w:r>
      <w:r>
        <w:rPr>
          <w:rFonts w:hint="eastAsia" w:ascii="宋体" w:hAnsi="宋体" w:eastAsia="宋体" w:cs="宋体"/>
          <w:b/>
          <w:bCs w:val="0"/>
          <w:color w:val="auto"/>
          <w:sz w:val="24"/>
          <w:szCs w:val="24"/>
          <w:highlight w:val="none"/>
          <w:lang w:val="en-US" w:eastAsia="zh-CN"/>
        </w:rPr>
        <w:t xml:space="preserve">本国产品</w:t>
      </w:r>
      <w:r>
        <w:rPr>
          <w:rFonts w:hint="eastAsia" w:ascii="宋体" w:hAnsi="宋体" w:eastAsia="宋体" w:cs="宋体"/>
          <w:b/>
          <w:bCs w:val="0"/>
          <w:color w:val="auto"/>
          <w:sz w:val="24"/>
          <w:szCs w:val="24"/>
          <w:highlight w:val="none"/>
        </w:rPr>
        <w:t xml:space="preserve">价格扣除详见第</w:t>
      </w:r>
      <w:r>
        <w:rPr>
          <w:rFonts w:hint="eastAsia" w:ascii="宋体" w:hAnsi="宋体" w:eastAsia="宋体" w:cs="宋体"/>
          <w:b/>
          <w:bCs w:val="0"/>
          <w:color w:val="auto"/>
          <w:sz w:val="24"/>
          <w:szCs w:val="24"/>
          <w:highlight w:val="none"/>
          <w:lang w:val="en-US" w:eastAsia="zh-CN"/>
        </w:rPr>
        <w:t xml:space="preserve">二章投标人须知</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第五条第三点：“</w:t>
      </w:r>
      <w:r>
        <w:rPr>
          <w:rFonts w:hint="eastAsia" w:ascii="宋体" w:hAnsi="宋体" w:eastAsia="宋体" w:cs="宋体"/>
          <w:b/>
          <w:bCs w:val="0"/>
          <w:color w:val="auto"/>
          <w:sz w:val="24"/>
          <w:szCs w:val="24"/>
          <w:highlight w:val="none"/>
        </w:rPr>
        <w:t xml:space="preserve">采购本国产品的支持政策”。</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采购人应当在采购文件中明确，政府采购评审中出现下列情形之一的，评审委员会应当启动异常低价投标（响应）审查程序：</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w:t>
      </w:r>
      <w:bookmarkStart w:id="38" w:name="OLE_LINK73"/>
      <w:r>
        <w:rPr>
          <w:rFonts w:hint="eastAsia" w:ascii="宋体" w:hAnsi="宋体" w:eastAsia="宋体" w:cs="宋体"/>
          <w:b/>
          <w:color w:val="auto"/>
          <w:sz w:val="24"/>
          <w:highlight w:val="none"/>
          <w:lang w:val="en-US" w:eastAsia="zh-CN"/>
        </w:rPr>
        <w:t xml:space="preserve">综合能力评价</w:t>
      </w:r>
      <w:bookmarkEnd w:id="38"/>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360" w:lineRule="auto"/>
        <w:widowControl w:val="off"/>
        <w:rPr>
          <w:rFonts w:hint="default" w:ascii="宋体" w:hAnsi="宋体" w:eastAsia="宋体" w:cs="宋体"/>
          <w:bCs/>
          <w:color w:val="auto"/>
          <w:sz w:val="24"/>
          <w:highlight w:val="none"/>
        </w:rPr>
      </w:pPr>
      <w:r/>
      <w:bookmarkStart w:id="39" w:name="OLE_LINK74"/>
      <w:r>
        <w:rPr>
          <w:rFonts w:hint="eastAsia" w:ascii="宋体" w:hAnsi="宋体" w:eastAsia="宋体" w:cs="宋体"/>
          <w:bCs/>
          <w:color w:val="auto"/>
          <w:sz w:val="24"/>
          <w:highlight w:val="none"/>
          <w:lang w:val="en-US" w:eastAsia="zh-CN"/>
        </w:rPr>
        <w:t xml:space="preserve">1、业绩：</w:t>
      </w:r>
      <w:r>
        <w:rPr>
          <w:rFonts w:ascii="宋体" w:hAnsi="宋体" w:eastAsia="宋体" w:cs="宋体"/>
          <w:bCs/>
          <w:color w:val="auto"/>
          <w:sz w:val="24"/>
          <w:highlight w:val="none"/>
        </w:rPr>
        <w:t xml:space="preserve">提供投标人自20</w:t>
      </w:r>
      <w:r>
        <w:rPr>
          <w:rFonts w:hint="eastAsia" w:ascii="宋体" w:hAnsi="宋体" w:eastAsia="宋体" w:cs="宋体"/>
          <w:bCs/>
          <w:color w:val="auto"/>
          <w:sz w:val="24"/>
          <w:highlight w:val="none"/>
        </w:rPr>
        <w:t xml:space="preserve">2</w:t>
      </w:r>
      <w:r>
        <w:rPr>
          <w:rFonts w:ascii="宋体" w:hAnsi="宋体" w:eastAsia="宋体" w:cs="宋体"/>
          <w:bCs/>
          <w:color w:val="auto"/>
          <w:sz w:val="24"/>
          <w:highlight w:val="none"/>
        </w:rPr>
        <w:t xml:space="preserve">2年</w:t>
      </w:r>
      <w:r>
        <w:rPr>
          <w:rFonts w:hint="eastAsia" w:ascii="宋体" w:hAnsi="宋体" w:eastAsia="宋体" w:cs="宋体"/>
          <w:bCs/>
          <w:color w:val="auto"/>
          <w:sz w:val="24"/>
          <w:highlight w:val="none"/>
          <w:lang w:val="en-US" w:eastAsia="zh-CN"/>
        </w:rPr>
        <w:t xml:space="preserve">1</w:t>
      </w:r>
      <w:r>
        <w:rPr>
          <w:rFonts w:ascii="宋体" w:hAnsi="宋体" w:eastAsia="宋体" w:cs="宋体"/>
          <w:bCs/>
          <w:color w:val="auto"/>
          <w:sz w:val="24"/>
          <w:highlight w:val="none"/>
        </w:rPr>
        <w:t xml:space="preserve">月1日</w:t>
      </w:r>
      <w:r>
        <w:rPr>
          <w:rFonts w:hint="eastAsia" w:ascii="宋体" w:hAnsi="宋体" w:eastAsia="宋体" w:cs="宋体"/>
          <w:bCs/>
          <w:color w:val="auto"/>
          <w:sz w:val="24"/>
          <w:highlight w:val="none"/>
        </w:rPr>
        <w:t xml:space="preserve">（含）</w:t>
      </w:r>
      <w:r>
        <w:rPr>
          <w:rFonts w:ascii="宋体" w:hAnsi="宋体" w:eastAsia="宋体" w:cs="宋体"/>
          <w:bCs/>
          <w:color w:val="auto"/>
          <w:sz w:val="24"/>
          <w:highlight w:val="none"/>
        </w:rPr>
        <w:t xml:space="preserve">以来（以合同</w:t>
      </w:r>
      <w:r>
        <w:rPr>
          <w:rFonts w:hint="eastAsia" w:ascii="宋体" w:hAnsi="宋体" w:eastAsia="宋体" w:cs="宋体"/>
          <w:bCs/>
          <w:color w:val="auto"/>
          <w:sz w:val="24"/>
          <w:highlight w:val="none"/>
        </w:rPr>
        <w:t xml:space="preserve">签订</w:t>
      </w:r>
      <w:r>
        <w:rPr>
          <w:rFonts w:ascii="宋体" w:hAnsi="宋体" w:eastAsia="宋体" w:cs="宋体"/>
          <w:bCs/>
          <w:color w:val="auto"/>
          <w:sz w:val="24"/>
          <w:highlight w:val="none"/>
        </w:rPr>
        <w:t xml:space="preserve">时间为准）</w:t>
      </w:r>
      <w:r>
        <w:rPr>
          <w:rFonts w:hint="eastAsia" w:ascii="宋体" w:hAnsi="宋体" w:eastAsia="宋体" w:cs="宋体"/>
          <w:bCs/>
          <w:color w:val="auto"/>
          <w:sz w:val="24"/>
          <w:highlight w:val="none"/>
        </w:rPr>
        <w:t xml:space="preserve">，承担过类似项目的，</w:t>
      </w:r>
      <w:r>
        <w:rPr>
          <w:rFonts w:ascii="宋体" w:hAnsi="宋体" w:eastAsia="宋体" w:cs="宋体"/>
          <w:bCs/>
          <w:color w:val="auto"/>
          <w:sz w:val="24"/>
          <w:highlight w:val="none"/>
        </w:rPr>
        <w:t xml:space="preserve">每提供一个得</w:t>
      </w:r>
      <w:r>
        <w:rPr>
          <w:rFonts w:hint="eastAsia" w:ascii="宋体" w:hAnsi="宋体" w:eastAsia="宋体" w:cs="宋体"/>
          <w:bCs/>
          <w:color w:val="auto"/>
          <w:sz w:val="24"/>
          <w:highlight w:val="none"/>
          <w:lang w:val="en-US" w:eastAsia="zh-CN"/>
        </w:rPr>
        <w:t xml:space="preserve">2</w:t>
      </w:r>
      <w:r>
        <w:rPr>
          <w:rFonts w:ascii="宋体" w:hAnsi="宋体" w:eastAsia="宋体" w:cs="宋体"/>
          <w:bCs/>
          <w:color w:val="auto"/>
          <w:sz w:val="24"/>
          <w:highlight w:val="none"/>
        </w:rPr>
        <w:t xml:space="preserve">分，本项最</w:t>
      </w:r>
      <w:r>
        <w:rPr>
          <w:rFonts w:hint="eastAsia" w:ascii="宋体" w:hAnsi="宋体" w:eastAsia="宋体" w:cs="宋体"/>
          <w:bCs/>
          <w:color w:val="auto"/>
          <w:sz w:val="24"/>
          <w:highlight w:val="none"/>
        </w:rPr>
        <w:t xml:space="preserve">高</w:t>
      </w:r>
      <w:r>
        <w:rPr>
          <w:rFonts w:ascii="宋体" w:hAnsi="宋体" w:eastAsia="宋体" w:cs="宋体"/>
          <w:bCs/>
          <w:color w:val="auto"/>
          <w:sz w:val="24"/>
          <w:highlight w:val="none"/>
        </w:rPr>
        <w:t xml:space="preserve">得</w:t>
      </w:r>
      <w:r>
        <w:rPr>
          <w:rFonts w:hint="eastAsia" w:ascii="宋体" w:hAnsi="宋体" w:eastAsia="宋体" w:cs="宋体"/>
          <w:bCs/>
          <w:color w:val="auto"/>
          <w:sz w:val="24"/>
          <w:highlight w:val="none"/>
          <w:lang w:val="en-US" w:eastAsia="zh-CN"/>
        </w:rPr>
        <w:t xml:space="preserve">4</w:t>
      </w:r>
      <w:r>
        <w:rPr>
          <w:rFonts w:ascii="宋体" w:hAnsi="宋体" w:eastAsia="宋体" w:cs="宋体"/>
          <w:bCs/>
          <w:color w:val="auto"/>
          <w:sz w:val="24"/>
          <w:highlight w:val="none"/>
        </w:rPr>
        <w:t xml:space="preserve">分；（</w:t>
      </w:r>
      <w:r>
        <w:rPr>
          <w:rFonts w:hint="eastAsia" w:ascii="宋体" w:hAnsi="宋体" w:eastAsia="宋体" w:cs="宋体"/>
          <w:bCs/>
          <w:color w:val="auto"/>
          <w:sz w:val="24"/>
          <w:highlight w:val="none"/>
        </w:rPr>
        <w:t xml:space="preserve">提供单份有效期内的合同或协议、验收证明（能够证明本项目已经完成的证明材料）、资金往来证明的扫描件加盖投标人公章上传至电子标书，时间以合同签订时间为准，否则不得分</w:t>
      </w:r>
      <w:r>
        <w:rPr>
          <w:rFonts w:ascii="宋体" w:hAnsi="宋体" w:eastAsia="宋体" w:cs="宋体"/>
          <w:bCs/>
          <w:color w:val="auto"/>
          <w:sz w:val="24"/>
          <w:highlight w:val="none"/>
        </w:rPr>
        <w:t xml:space="preserve">）</w:t>
      </w:r>
      <w:r>
        <w:rPr>
          <w:rFonts w:hint="default" w:ascii="宋体" w:hAnsi="宋体" w:eastAsia="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 w:val="0"/>
          <w:bCs/>
          <w:color w:val="auto"/>
          <w:sz w:val="24"/>
          <w:szCs w:val="24"/>
        </w:rPr>
        <w:t xml:space="preserve">产品技术与质量</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（1）项目要求响应情况（2分）</w:t>
      </w:r>
      <w:r/>
    </w:p>
    <w:p>
      <w:pPr>
        <w:numPr>
          <w:ilvl w:val="0"/>
          <w:numId w:val="0"/>
        </w:numPr>
        <w:ind w:left="0" w:firstLine="482"/>
        <w:jc w:val="left"/>
        <w:keepLines w:val="0"/>
        <w:keepNext w:val="0"/>
        <w:pageBreakBefore w:val="0"/>
        <w:spacing w:line="360" w:lineRule="auto"/>
        <w:shd w:val="clear" w:color="auto" w:fill="auto"/>
        <w:widowControl w:val="off"/>
        <w:tabs>
          <w:tab w:val="left" w:pos="945" w:leader="none"/>
          <w:tab w:val="left" w:pos="1155" w:leader="none"/>
        </w:tabs>
        <w:rPr>
          <w:rFonts w:hint="eastAsia"/>
          <w:color w:val="auto"/>
        </w:rPr>
      </w:pPr>
      <w:r>
        <w:rPr>
          <w:rFonts w:hint="eastAsia" w:ascii="宋体" w:hAnsi="宋体" w:eastAsia="宋体" w:cs="宋体"/>
          <w:b/>
          <w:bCs w:val="0"/>
          <w:color w:val="auto"/>
          <w:sz w:val="24"/>
          <w:szCs w:val="24"/>
          <w:lang w:val="en-US" w:eastAsia="zh-CN" w:bidi="ar"/>
        </w:rPr>
        <w:t xml:space="preserve">得分项目参数必须在《投标偏离表》实报内容中填写并注明为正偏离，未按要求提供证明材料和不按要求填写的，不得分。</w:t>
      </w:r>
      <w:r>
        <w:rPr>
          <w:rFonts w:hint="eastAsia" w:ascii="宋体" w:hAnsi="宋体" w:eastAsia="宋体" w:cs="宋体"/>
          <w:color w:val="auto"/>
          <w:sz w:val="24"/>
          <w:szCs w:val="24"/>
          <w:lang w:val="en-US" w:eastAsia="zh-CN" w:bidi="ar"/>
        </w:rPr>
        <w:t xml:space="preserve">未提供或提供的</w:t>
      </w:r>
      <w:r>
        <w:rPr>
          <w:rFonts w:hint="eastAsia" w:ascii="宋体" w:hAnsi="宋体" w:eastAsia="宋体" w:cs="宋体"/>
          <w:bCs/>
          <w:color w:val="auto"/>
          <w:sz w:val="24"/>
          <w:szCs w:val="24"/>
          <w:lang w:val="en-US" w:eastAsia="zh-CN" w:bidi="ar"/>
        </w:rPr>
        <w:t xml:space="preserve">相关证明材料</w:t>
      </w:r>
      <w:r>
        <w:rPr>
          <w:rFonts w:hint="eastAsia" w:ascii="宋体" w:hAnsi="宋体" w:eastAsia="宋体" w:cs="宋体"/>
          <w:color w:val="auto"/>
          <w:sz w:val="24"/>
          <w:szCs w:val="24"/>
          <w:lang w:val="en-US" w:eastAsia="zh-CN" w:bidi="ar"/>
        </w:rPr>
        <w:t xml:space="preserve">不能佐证评分参数内容的，评审时不予认可。本项最高得2分。</w:t>
      </w:r>
      <w:r/>
    </w:p>
    <w:tbl>
      <w:tblPr>
        <w:tblStyle w:val="1108"/>
        <w:tblpPr w:horzAnchor="page" w:tblpX="1532" w:vertAnchor="text" w:tblpY="272" w:leftFromText="180" w:topFromText="0" w:rightFromText="180" w:bottomFromText="0"/>
        <w:tblW w:w="44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1"/>
        <w:gridCol w:w="2413"/>
        <w:gridCol w:w="2535"/>
        <w:gridCol w:w="2713"/>
      </w:tblGrid>
      <w:tr>
        <w:trPr>
          <w:trHeight w:val="57"/>
        </w:trPr>
        <w:tc>
          <w:tcPr>
            <w:shd w:val="clear" w:color="auto" w:fill="auto"/>
            <w:tcW w:w="37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4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医用气体终端，通过1万次疲劳测试，</w:t>
            </w:r>
            <w:r>
              <w:rPr>
                <w:rFonts w:hint="eastAsia" w:ascii="宋体" w:hAnsi="宋体" w:eastAsia="宋体" w:cs="宋体"/>
                <w:b/>
                <w:bCs/>
                <w:i w:val="0"/>
                <w:iCs w:val="0"/>
                <w:color w:val="auto"/>
                <w:sz w:val="21"/>
                <w:szCs w:val="21"/>
                <w:highlight w:val="none"/>
                <w:u w:val="none"/>
                <w:lang w:val="en-US" w:eastAsia="zh-CN" w:bidi="ar"/>
              </w:rPr>
              <w:t xml:space="preserve">（提供CMA认证的检测机构出具的检测报告或省级以上医疗器械检验研究所检验报告扫描件并加盖投标人公章）</w:t>
            </w:r>
            <w:r/>
          </w:p>
        </w:tc>
        <w:tc>
          <w:tcPr>
            <w:shd w:val="clear" w:color="auto" w:fill="auto"/>
            <w:tcW w:w="15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医用气体终端，通过1万次＜疲劳测试≤10万次，</w:t>
            </w:r>
            <w:r>
              <w:rPr>
                <w:rFonts w:hint="eastAsia" w:ascii="宋体" w:hAnsi="宋体" w:eastAsia="宋体" w:cs="宋体"/>
                <w:b/>
                <w:bCs/>
                <w:i w:val="0"/>
                <w:iCs w:val="0"/>
                <w:color w:val="auto"/>
                <w:sz w:val="21"/>
                <w:szCs w:val="21"/>
                <w:highlight w:val="none"/>
                <w:u w:val="none"/>
                <w:lang w:val="en-US" w:eastAsia="zh-CN" w:bidi="ar"/>
              </w:rPr>
              <w:t xml:space="preserve">（提供CMA认证的检测机构出具的检测报告或省级以上医疗器械检验研究所检验报告扫描件并加盖投标人公章，满足以上条件得1分）</w:t>
            </w:r>
            <w:r/>
          </w:p>
        </w:tc>
        <w:tc>
          <w:tcPr>
            <w:shd w:val="clear" w:color="auto" w:fill="auto"/>
            <w:tcW w:w="163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医用气体终端，通过疲劳测试＞10万次，</w:t>
            </w:r>
            <w:r>
              <w:rPr>
                <w:rFonts w:hint="eastAsia" w:ascii="宋体" w:hAnsi="宋体" w:eastAsia="宋体" w:cs="宋体"/>
                <w:b/>
                <w:bCs/>
                <w:i w:val="0"/>
                <w:iCs w:val="0"/>
                <w:color w:val="auto"/>
                <w:sz w:val="21"/>
                <w:szCs w:val="21"/>
                <w:highlight w:val="none"/>
                <w:u w:val="none"/>
                <w:lang w:val="en-US" w:eastAsia="zh-CN" w:bidi="ar"/>
              </w:rPr>
              <w:t xml:space="preserve">（提供CMA认证的检测机构出具的检测报告或省级以上医疗器械检验研究所检验报告扫描件并加盖投标人公章，满足以上条件得2分）</w:t>
            </w:r>
            <w:r/>
          </w:p>
        </w:tc>
      </w:tr>
    </w:tbl>
    <w:p>
      <w:pPr>
        <w:rPr>
          <w:rFonts w:hint="eastAsia"/>
          <w:color w:val="auto"/>
          <w:highlight w:val="none"/>
          <w:lang w:eastAsia="zh-CN"/>
        </w:rPr>
      </w:pPr>
      <w:r>
        <w:rPr>
          <w:rFonts w:hint="eastAsia"/>
          <w:color w:val="auto"/>
          <w:highlight w:val="none"/>
          <w:lang w:eastAsia="zh-CN"/>
        </w:rPr>
      </w:r>
      <w:bookmarkEnd w:id="39"/>
      <w:r/>
    </w:p>
    <w:p>
      <w:pPr>
        <w:pStyle w:val="1118"/>
        <w:rPr>
          <w:color w:val="auto"/>
          <w:highlight w:val="none"/>
        </w:rPr>
      </w:pPr>
      <w:r>
        <w:rPr>
          <w:color w:val="auto"/>
          <w:highlight w:val="none"/>
        </w:rPr>
      </w:r>
      <w:r/>
    </w:p>
    <w:p>
      <w:pPr>
        <w:numPr>
          <w:ilvl w:val="0"/>
          <w:numId w:val="0"/>
        </w:num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为保证</w:t>
      </w:r>
      <w:r>
        <w:rPr>
          <w:rFonts w:hint="eastAsia" w:ascii="宋体" w:hAnsi="宋体" w:eastAsia="宋体" w:cs="宋体"/>
          <w:bCs/>
          <w:color w:val="auto"/>
          <w:sz w:val="24"/>
          <w:szCs w:val="24"/>
          <w:highlight w:val="none"/>
          <w:lang w:val="en-US" w:eastAsia="zh-CN"/>
        </w:rPr>
        <w:t xml:space="preserve">方便统一管理、保证设备的</w:t>
      </w:r>
      <w:r>
        <w:rPr>
          <w:rFonts w:hint="eastAsia" w:ascii="宋体" w:hAnsi="宋体" w:eastAsia="宋体" w:cs="宋体"/>
          <w:bCs/>
          <w:color w:val="auto"/>
          <w:sz w:val="24"/>
          <w:szCs w:val="24"/>
          <w:highlight w:val="none"/>
        </w:rPr>
        <w:t xml:space="preserve">稳定性，所投</w:t>
      </w:r>
      <w:r>
        <w:rPr>
          <w:rFonts w:hint="eastAsia" w:ascii="宋体" w:hAnsi="宋体" w:eastAsia="宋体" w:cs="宋体"/>
          <w:bCs/>
          <w:color w:val="auto"/>
          <w:sz w:val="24"/>
          <w:szCs w:val="24"/>
          <w:highlight w:val="none"/>
          <w:lang w:val="en-US" w:eastAsia="zh-CN"/>
        </w:rPr>
        <w:t xml:space="preserve">的汇流排，医用真空负压一体式机组，医用压缩空气一体式机组有2个产品为</w:t>
      </w:r>
      <w:r>
        <w:rPr>
          <w:rFonts w:hint="eastAsia" w:ascii="宋体" w:hAnsi="宋体" w:eastAsia="宋体" w:cs="宋体"/>
          <w:bCs/>
          <w:color w:val="auto"/>
          <w:sz w:val="24"/>
          <w:szCs w:val="24"/>
          <w:highlight w:val="none"/>
        </w:rPr>
        <w:t xml:space="preserve">同一品牌或厂商的得1分，有</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个产品为同一品牌或厂商的得2分。</w:t>
      </w:r>
      <w:r/>
    </w:p>
    <w:p>
      <w:pPr>
        <w:ind w:firstLine="480"/>
        <w:jc w:val="left"/>
        <w:spacing w:line="360" w:lineRule="auto"/>
        <w:rPr>
          <w:rFonts w:hint="eastAsia" w:cs="宋体" w:asciiTheme="minorEastAsia" w:hAnsiTheme="minorEastAsia" w:eastAsiaTheme="minorEastAsia"/>
          <w:b/>
          <w:color w:val="auto"/>
          <w:sz w:val="24"/>
          <w:szCs w:val="24"/>
          <w:highlight w:val="cyan"/>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说明：</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或投标产品生产厂家能够提供相关证明文件或在有效期内第三方质检单位的检测报告，检测报告上的名称与要求中所对应的名称不同但内容实质相同的视作等同，投标文件中的检测报告须清晰且完整含封底及封面，检测报告不完整视作无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上述偏离情况须在偏离表中详细体现。】</w:t>
      </w:r>
      <w:r/>
    </w:p>
    <w:p>
      <w:pPr>
        <w:ind w:firstLine="482"/>
        <w:spacing w:line="360" w:lineRule="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lang w:val="en-US" w:eastAsia="zh-CN"/>
        </w:rPr>
        <w:t xml:space="preserve">三</w:t>
      </w:r>
      <w:r>
        <w:rPr>
          <w:rFonts w:hint="eastAsia" w:cs="宋体" w:asciiTheme="minorEastAsia" w:hAnsiTheme="minorEastAsia" w:eastAsiaTheme="minorEastAsia"/>
          <w:b/>
          <w:color w:val="auto"/>
          <w:sz w:val="24"/>
          <w:szCs w:val="24"/>
          <w:highlight w:val="none"/>
        </w:rPr>
        <w:t xml:space="preserve">、</w:t>
      </w:r>
      <w:r>
        <w:rPr>
          <w:rFonts w:hint="eastAsia" w:cs="宋体" w:asciiTheme="minorEastAsia" w:hAnsiTheme="minorEastAsia" w:eastAsiaTheme="minorEastAsia"/>
          <w:b/>
          <w:color w:val="auto"/>
          <w:sz w:val="24"/>
          <w:szCs w:val="24"/>
          <w:highlight w:val="none"/>
          <w:lang w:val="en-US" w:eastAsia="zh-CN"/>
        </w:rPr>
        <w:t xml:space="preserve">技术</w:t>
      </w:r>
      <w:r>
        <w:rPr>
          <w:rFonts w:hint="eastAsia" w:cs="宋体" w:asciiTheme="minorEastAsia" w:hAnsiTheme="minorEastAsia" w:eastAsiaTheme="minorEastAsia"/>
          <w:b/>
          <w:color w:val="auto"/>
          <w:sz w:val="24"/>
          <w:szCs w:val="24"/>
          <w:highlight w:val="none"/>
        </w:rPr>
        <w:t xml:space="preserve">方案 （</w:t>
      </w:r>
      <w:r>
        <w:rPr>
          <w:rFonts w:hint="eastAsia" w:cs="宋体" w:asciiTheme="minorEastAsia" w:hAnsiTheme="minorEastAsia" w:eastAsiaTheme="minorEastAsia"/>
          <w:b/>
          <w:color w:val="auto"/>
          <w:sz w:val="24"/>
          <w:szCs w:val="24"/>
          <w:highlight w:val="none"/>
          <w:lang w:val="en-US" w:eastAsia="zh-CN"/>
        </w:rPr>
        <w:t xml:space="preserve">47</w:t>
      </w:r>
      <w:r>
        <w:rPr>
          <w:rFonts w:hint="eastAsia" w:cs="宋体" w:asciiTheme="minorEastAsia" w:hAnsiTheme="minorEastAsia" w:eastAsiaTheme="minorEastAsia"/>
          <w:b/>
          <w:color w:val="auto"/>
          <w:sz w:val="24"/>
          <w:szCs w:val="24"/>
          <w:highlight w:val="none"/>
        </w:rPr>
        <w:t xml:space="preserve">分）</w:t>
      </w:r>
      <w:r/>
    </w:p>
    <w:p>
      <w:pPr>
        <w:pStyle w:val="1165"/>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 xml:space="preserve">1、</w:t>
      </w:r>
      <w:r>
        <w:rPr>
          <w:rFonts w:hint="eastAsia" w:cs="宋体" w:asciiTheme="minorEastAsia" w:hAnsiTheme="minorEastAsia" w:eastAsiaTheme="minorEastAsia"/>
          <w:bCs/>
          <w:color w:val="auto"/>
          <w:sz w:val="24"/>
          <w:szCs w:val="24"/>
          <w:highlight w:val="none"/>
        </w:rPr>
        <w:t xml:space="preserve">供货安装方案（</w:t>
      </w:r>
      <w:r>
        <w:rPr>
          <w:rFonts w:hint="eastAsia" w:cs="宋体" w:asciiTheme="minorEastAsia" w:hAnsiTheme="minorEastAsia" w:eastAsiaTheme="minorEastAsia"/>
          <w:bCs/>
          <w:color w:val="auto"/>
          <w:sz w:val="24"/>
          <w:szCs w:val="24"/>
          <w:highlight w:val="none"/>
          <w:lang w:val="en-US" w:eastAsia="zh-CN"/>
        </w:rPr>
        <w:t xml:space="preserve">12</w:t>
      </w:r>
      <w:r>
        <w:rPr>
          <w:rFonts w:hint="eastAsia" w:cs="宋体" w:asciiTheme="minorEastAsia" w:hAnsiTheme="minorEastAsia" w:eastAsiaTheme="minorEastAsia"/>
          <w:bCs/>
          <w:color w:val="auto"/>
          <w:sz w:val="24"/>
          <w:szCs w:val="24"/>
          <w:highlight w:val="none"/>
        </w:rPr>
        <w:t xml:space="preserve">分）：投标人根据项目要求和采购需求对采购方案的描述，包括但不限于①</w:t>
      </w:r>
      <w:bookmarkStart w:id="40" w:name="OLE_LINK54"/>
      <w:r>
        <w:rPr>
          <w:rFonts w:hint="eastAsia" w:cs="宋体" w:asciiTheme="minorEastAsia" w:hAnsiTheme="minorEastAsia" w:eastAsiaTheme="minorEastAsia"/>
          <w:bCs/>
          <w:color w:val="auto"/>
          <w:sz w:val="24"/>
          <w:szCs w:val="24"/>
          <w:highlight w:val="none"/>
        </w:rPr>
        <w:t xml:space="preserve">项目概况及分析</w:t>
      </w:r>
      <w:bookmarkEnd w:id="40"/>
      <w:r>
        <w:rPr>
          <w:rFonts w:hint="eastAsia" w:cs="宋体" w:asciiTheme="minorEastAsia" w:hAnsiTheme="minorEastAsia" w:eastAsiaTheme="minorEastAsia"/>
          <w:bCs/>
          <w:color w:val="auto"/>
          <w:sz w:val="24"/>
          <w:szCs w:val="24"/>
          <w:highlight w:val="none"/>
        </w:rPr>
        <w:t xml:space="preserve">、②</w:t>
      </w:r>
      <w:bookmarkStart w:id="41" w:name="OLE_LINK56"/>
      <w:r>
        <w:rPr>
          <w:rFonts w:hint="eastAsia" w:cs="宋体" w:asciiTheme="minorEastAsia" w:hAnsiTheme="minorEastAsia" w:eastAsiaTheme="minorEastAsia"/>
          <w:bCs/>
          <w:color w:val="auto"/>
          <w:sz w:val="24"/>
          <w:szCs w:val="24"/>
          <w:highlight w:val="none"/>
        </w:rPr>
        <w:t xml:space="preserve">场地设置方案、</w:t>
      </w:r>
      <w:r>
        <w:rPr>
          <w:rFonts w:hint="eastAsia" w:cs="宋体" w:asciiTheme="minorEastAsia" w:hAnsiTheme="minorEastAsia" w:eastAsiaTheme="minorEastAsia"/>
          <w:bCs/>
          <w:color w:val="auto"/>
          <w:sz w:val="24"/>
          <w:szCs w:val="24"/>
          <w:highlight w:val="none"/>
          <w:lang w:val="en-US" w:eastAsia="zh-CN"/>
        </w:rPr>
        <w:t xml:space="preserve">③</w:t>
      </w:r>
      <w:r>
        <w:rPr>
          <w:rFonts w:hint="eastAsia" w:cs="宋体" w:asciiTheme="minorEastAsia" w:hAnsiTheme="minorEastAsia" w:eastAsiaTheme="minorEastAsia"/>
          <w:bCs/>
          <w:color w:val="auto"/>
          <w:sz w:val="24"/>
          <w:szCs w:val="24"/>
          <w:highlight w:val="none"/>
        </w:rPr>
        <w:t xml:space="preserve">设备安装方案</w:t>
      </w:r>
      <w:bookmarkEnd w:id="41"/>
      <w:r>
        <w:rPr>
          <w:rFonts w:hint="eastAsia" w:cs="宋体" w:asciiTheme="minorEastAsia" w:hAnsiTheme="minorEastAsia" w:eastAsiaTheme="minorEastAsia"/>
          <w:bCs/>
          <w:color w:val="auto"/>
          <w:sz w:val="24"/>
          <w:szCs w:val="24"/>
          <w:highlight w:val="none"/>
        </w:rPr>
        <w:t xml:space="preserve">、</w:t>
      </w:r>
      <w:bookmarkStart w:id="42" w:name="OLE_LINK57"/>
      <w:r>
        <w:rPr>
          <w:rFonts w:hint="eastAsia" w:cs="宋体" w:asciiTheme="minorEastAsia" w:hAnsiTheme="minorEastAsia" w:eastAsiaTheme="minorEastAsia"/>
          <w:bCs/>
          <w:color w:val="auto"/>
          <w:sz w:val="24"/>
          <w:szCs w:val="24"/>
          <w:highlight w:val="none"/>
          <w:lang w:val="en-US" w:eastAsia="zh-CN"/>
        </w:rPr>
        <w:t xml:space="preserve">④</w:t>
      </w:r>
      <w:r>
        <w:rPr>
          <w:rFonts w:hint="eastAsia" w:cs="宋体" w:asciiTheme="minorEastAsia" w:hAnsiTheme="minorEastAsia" w:eastAsiaTheme="minorEastAsia"/>
          <w:bCs/>
          <w:color w:val="auto"/>
          <w:sz w:val="24"/>
          <w:szCs w:val="24"/>
          <w:highlight w:val="none"/>
        </w:rPr>
        <w:t xml:space="preserve">人员的安排</w:t>
      </w:r>
      <w:bookmarkEnd w:id="42"/>
      <w:r>
        <w:rPr>
          <w:rFonts w:hint="eastAsia" w:cs="宋体" w:asciiTheme="minorEastAsia" w:hAnsiTheme="minorEastAsia" w:eastAsiaTheme="minorEastAsia"/>
          <w:bCs/>
          <w:color w:val="auto"/>
          <w:sz w:val="24"/>
          <w:szCs w:val="24"/>
          <w:highlight w:val="none"/>
        </w:rPr>
        <w:t xml:space="preserve">、</w:t>
      </w:r>
      <w:bookmarkStart w:id="43" w:name="OLE_LINK58"/>
      <w:r>
        <w:rPr>
          <w:rFonts w:hint="eastAsia" w:cs="宋体" w:asciiTheme="minorEastAsia" w:hAnsiTheme="minorEastAsia" w:eastAsiaTheme="minorEastAsia"/>
          <w:bCs/>
          <w:color w:val="auto"/>
          <w:sz w:val="24"/>
          <w:szCs w:val="24"/>
          <w:highlight w:val="none"/>
          <w:lang w:val="en-US" w:eastAsia="zh-CN"/>
        </w:rPr>
        <w:t xml:space="preserve">⑤</w:t>
      </w:r>
      <w:r>
        <w:rPr>
          <w:rFonts w:hint="eastAsia" w:cs="宋体" w:asciiTheme="minorEastAsia" w:hAnsiTheme="minorEastAsia" w:eastAsiaTheme="minorEastAsia"/>
          <w:bCs/>
          <w:color w:val="auto"/>
          <w:sz w:val="24"/>
          <w:szCs w:val="24"/>
          <w:highlight w:val="none"/>
        </w:rPr>
        <w:t xml:space="preserve">时间进度的规划</w:t>
      </w:r>
      <w:bookmarkEnd w:id="43"/>
      <w:r>
        <w:rPr>
          <w:rFonts w:hint="eastAsia" w:cs="宋体" w:asciiTheme="minorEastAsia" w:hAnsiTheme="minorEastAsia" w:eastAsiaTheme="minorEastAsia"/>
          <w:bCs/>
          <w:color w:val="auto"/>
          <w:sz w:val="24"/>
          <w:szCs w:val="24"/>
          <w:highlight w:val="none"/>
        </w:rPr>
        <w:t xml:space="preserve">、</w:t>
      </w:r>
      <w:bookmarkStart w:id="44" w:name="OLE_LINK59"/>
      <w:r>
        <w:rPr>
          <w:rFonts w:hint="eastAsia" w:cs="宋体" w:asciiTheme="minorEastAsia" w:hAnsiTheme="minorEastAsia" w:eastAsiaTheme="minorEastAsia"/>
          <w:bCs/>
          <w:color w:val="auto"/>
          <w:sz w:val="24"/>
          <w:szCs w:val="24"/>
          <w:highlight w:val="none"/>
          <w:lang w:val="en-US" w:eastAsia="zh-CN"/>
        </w:rPr>
        <w:t xml:space="preserve">⑥</w:t>
      </w:r>
      <w:r>
        <w:rPr>
          <w:rFonts w:hint="eastAsia" w:cs="宋体" w:asciiTheme="minorEastAsia" w:hAnsiTheme="minorEastAsia" w:eastAsiaTheme="minorEastAsia"/>
          <w:bCs/>
          <w:color w:val="auto"/>
          <w:sz w:val="24"/>
          <w:szCs w:val="24"/>
          <w:highlight w:val="none"/>
        </w:rPr>
        <w:t xml:space="preserve">对设备的调试进度安排、措施、问题的解决方案</w:t>
      </w:r>
      <w:bookmarkEnd w:id="44"/>
      <w:r>
        <w:rPr>
          <w:rFonts w:hint="eastAsia" w:cs="宋体" w:asciiTheme="minorEastAsia" w:hAnsiTheme="minorEastAsia" w:eastAsiaTheme="minorEastAsia"/>
          <w:bCs/>
          <w:color w:val="auto"/>
          <w:sz w:val="24"/>
          <w:szCs w:val="24"/>
          <w:highlight w:val="none"/>
        </w:rPr>
        <w:t xml:space="preserve">，上述内容要求描述内容完整、合理、可行性强，每有一项</w:t>
      </w:r>
      <w:bookmarkStart w:id="45" w:name="OLE_LINK55"/>
      <w:r>
        <w:rPr>
          <w:rFonts w:hint="eastAsia" w:cs="宋体" w:asciiTheme="minorEastAsia" w:hAnsiTheme="minorEastAsia" w:eastAsiaTheme="minorEastAsia"/>
          <w:bCs/>
          <w:color w:val="auto"/>
          <w:sz w:val="24"/>
          <w:szCs w:val="24"/>
          <w:highlight w:val="none"/>
        </w:rPr>
        <w:t xml:space="preserve">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分；以上内容存在1处瑕疵则该条得</w:t>
      </w:r>
      <w:r>
        <w:rPr>
          <w:rFonts w:hint="eastAsia" w:cs="宋体" w:asciiTheme="minorEastAsia" w:hAnsiTheme="minorEastAsia" w:eastAsiaTheme="minorEastAsia"/>
          <w:bCs/>
          <w:color w:val="auto"/>
          <w:sz w:val="24"/>
          <w:szCs w:val="24"/>
          <w:highlight w:val="none"/>
          <w:lang w:val="en-US" w:eastAsia="zh-CN"/>
        </w:rPr>
        <w:t xml:space="preserve">1</w:t>
      </w:r>
      <w:r>
        <w:rPr>
          <w:rFonts w:hint="eastAsia" w:cs="宋体" w:asciiTheme="minorEastAsia" w:hAnsiTheme="minorEastAsia" w:eastAsiaTheme="minorEastAsia"/>
          <w:bCs/>
          <w:color w:val="auto"/>
          <w:sz w:val="24"/>
          <w:szCs w:val="24"/>
          <w:highlight w:val="none"/>
        </w:rPr>
        <w:t xml:space="preserve">分；</w:t>
      </w:r>
      <w:bookmarkEnd w:id="45"/>
      <w:r>
        <w:rPr>
          <w:rFonts w:hint="eastAsia" w:cs="宋体" w:asciiTheme="minorEastAsia" w:hAnsiTheme="minorEastAsia" w:eastAsiaTheme="minorEastAsia"/>
          <w:bCs/>
          <w:color w:val="auto"/>
          <w:sz w:val="24"/>
          <w:szCs w:val="24"/>
          <w:highlight w:val="none"/>
        </w:rPr>
        <w:t xml:space="preserve">以上内容存在2处瑕疵则该条得</w:t>
      </w:r>
      <w:r>
        <w:rPr>
          <w:rFonts w:hint="eastAsia" w:cs="宋体" w:asciiTheme="minorEastAsia" w:hAnsiTheme="minorEastAsia" w:eastAsiaTheme="minorEastAsia"/>
          <w:bCs/>
          <w:color w:val="auto"/>
          <w:sz w:val="24"/>
          <w:szCs w:val="24"/>
          <w:highlight w:val="none"/>
          <w:lang w:val="en-US" w:eastAsia="zh-CN"/>
        </w:rPr>
        <w:t xml:space="preserve">0.5</w:t>
      </w:r>
      <w:r>
        <w:rPr>
          <w:rFonts w:hint="eastAsia" w:cs="宋体" w:asciiTheme="minorEastAsia" w:hAnsiTheme="minorEastAsia" w:eastAsiaTheme="minorEastAsia"/>
          <w:bCs/>
          <w:color w:val="auto"/>
          <w:sz w:val="24"/>
          <w:szCs w:val="24"/>
          <w:highlight w:val="none"/>
        </w:rPr>
        <w:t xml:space="preserve">分；未提供描述或不满足采购需求或内容存在3处及以上瑕疵该条得0分。</w:t>
      </w:r>
      <w:r/>
    </w:p>
    <w:p>
      <w:pPr>
        <w:pStyle w:val="1165"/>
        <w:ind w:firstLine="480"/>
        <w:spacing w:line="360" w:lineRule="auto"/>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lang w:eastAsia="zh-CN"/>
        </w:rPr>
        <w:t xml:space="preserve">、</w:t>
      </w:r>
      <w:r>
        <w:rPr>
          <w:rFonts w:hint="eastAsia" w:cs="宋体" w:asciiTheme="minorEastAsia" w:hAnsiTheme="minorEastAsia" w:eastAsiaTheme="minorEastAsia"/>
          <w:bCs/>
          <w:color w:val="auto"/>
          <w:sz w:val="24"/>
          <w:szCs w:val="24"/>
          <w:highlight w:val="none"/>
        </w:rPr>
        <w:t xml:space="preserve">质量保障措施（</w:t>
      </w:r>
      <w:r>
        <w:rPr>
          <w:rFonts w:hint="eastAsia" w:cs="宋体" w:asciiTheme="minorEastAsia" w:hAnsiTheme="minorEastAsia" w:eastAsiaTheme="minorEastAsia"/>
          <w:bCs/>
          <w:color w:val="auto"/>
          <w:sz w:val="24"/>
          <w:szCs w:val="24"/>
          <w:highlight w:val="none"/>
          <w:lang w:val="en-US" w:eastAsia="zh-CN"/>
        </w:rPr>
        <w:t xml:space="preserve">4</w:t>
      </w:r>
      <w:r>
        <w:rPr>
          <w:rFonts w:hint="eastAsia" w:cs="宋体" w:asciiTheme="minorEastAsia" w:hAnsiTheme="minorEastAsia" w:eastAsiaTheme="minorEastAsia"/>
          <w:bCs/>
          <w:color w:val="auto"/>
          <w:sz w:val="24"/>
          <w:szCs w:val="24"/>
          <w:highlight w:val="none"/>
        </w:rPr>
        <w:t xml:space="preserve">分)：投标人根据项目要求和采购需求对采购方案的描述，包括但不限于</w:t>
      </w:r>
      <w:r>
        <w:rPr>
          <w:rFonts w:hint="eastAsia" w:cs="宋体" w:asciiTheme="minorEastAsia" w:hAnsiTheme="minorEastAsia" w:eastAsiaTheme="minorEastAsia"/>
          <w:bCs/>
          <w:color w:val="auto"/>
          <w:sz w:val="24"/>
          <w:szCs w:val="24"/>
          <w:highlight w:val="none"/>
          <w:lang w:val="en-US" w:eastAsia="zh-CN"/>
        </w:rPr>
        <w:t xml:space="preserve">①</w:t>
      </w:r>
      <w:r>
        <w:rPr>
          <w:rFonts w:hint="eastAsia" w:cs="宋体" w:asciiTheme="minorEastAsia" w:hAnsiTheme="minorEastAsia" w:eastAsiaTheme="minorEastAsia"/>
          <w:bCs/>
          <w:color w:val="auto"/>
          <w:sz w:val="24"/>
          <w:szCs w:val="24"/>
          <w:highlight w:val="none"/>
        </w:rPr>
        <w:t xml:space="preserve">质量保障措施</w:t>
      </w:r>
      <w:r>
        <w:rPr>
          <w:rFonts w:hint="eastAsia" w:cs="宋体" w:asciiTheme="minorEastAsia" w:hAnsiTheme="minorEastAsia" w:eastAsiaTheme="minorEastAsia"/>
          <w:bCs/>
          <w:color w:val="auto"/>
          <w:sz w:val="24"/>
          <w:szCs w:val="24"/>
          <w:highlight w:val="none"/>
          <w:lang w:eastAsia="zh-CN"/>
        </w:rPr>
        <w:t xml:space="preserve">、</w:t>
      </w:r>
      <w:r>
        <w:rPr>
          <w:rFonts w:hint="eastAsia" w:cs="宋体" w:asciiTheme="minorEastAsia" w:hAnsiTheme="minorEastAsia" w:eastAsiaTheme="minorEastAsia"/>
          <w:bCs/>
          <w:color w:val="auto"/>
          <w:sz w:val="24"/>
          <w:szCs w:val="24"/>
          <w:highlight w:val="none"/>
          <w:lang w:val="en-US" w:eastAsia="zh-CN"/>
        </w:rPr>
        <w:t xml:space="preserve">②</w:t>
      </w:r>
      <w:r>
        <w:rPr>
          <w:rFonts w:hint="eastAsia" w:cs="宋体" w:asciiTheme="minorEastAsia" w:hAnsiTheme="minorEastAsia" w:eastAsiaTheme="minorEastAsia"/>
          <w:bCs/>
          <w:color w:val="auto"/>
          <w:sz w:val="24"/>
          <w:szCs w:val="24"/>
          <w:highlight w:val="none"/>
        </w:rPr>
        <w:t xml:space="preserve">质量保证组织措施</w:t>
      </w:r>
      <w:r>
        <w:rPr>
          <w:rFonts w:hint="eastAsia" w:cs="宋体" w:asciiTheme="minorEastAsia" w:hAnsiTheme="minorEastAsia" w:eastAsiaTheme="minorEastAsia"/>
          <w:bCs/>
          <w:color w:val="auto"/>
          <w:sz w:val="24"/>
          <w:szCs w:val="24"/>
          <w:highlight w:val="none"/>
          <w:lang w:eastAsia="zh-CN"/>
        </w:rPr>
        <w:t xml:space="preserve">，</w:t>
      </w:r>
      <w:r>
        <w:rPr>
          <w:rFonts w:hint="eastAsia" w:cs="宋体" w:asciiTheme="minorEastAsia" w:hAnsiTheme="minorEastAsia" w:eastAsiaTheme="minorEastAsia"/>
          <w:bCs/>
          <w:color w:val="auto"/>
          <w:sz w:val="24"/>
          <w:szCs w:val="24"/>
          <w:highlight w:val="none"/>
        </w:rPr>
        <w:t xml:space="preserve">上述内容要求描述内容完整、合理、可行性强，每有一项内容进行了描述且满足采购需求不存在瑕疵的得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分；以上内容存在1处瑕疵则该条得</w:t>
      </w:r>
      <w:r>
        <w:rPr>
          <w:rFonts w:hint="eastAsia" w:cs="宋体" w:asciiTheme="minorEastAsia" w:hAnsiTheme="minorEastAsia" w:eastAsiaTheme="minorEastAsia"/>
          <w:bCs/>
          <w:color w:val="auto"/>
          <w:sz w:val="24"/>
          <w:szCs w:val="24"/>
          <w:highlight w:val="none"/>
          <w:lang w:val="en-US" w:eastAsia="zh-CN"/>
        </w:rPr>
        <w:t xml:space="preserve">1</w:t>
      </w:r>
      <w:r>
        <w:rPr>
          <w:rFonts w:hint="eastAsia" w:cs="宋体" w:asciiTheme="minorEastAsia" w:hAnsiTheme="minorEastAsia" w:eastAsiaTheme="minorEastAsia"/>
          <w:bCs/>
          <w:color w:val="auto"/>
          <w:sz w:val="24"/>
          <w:szCs w:val="24"/>
          <w:highlight w:val="none"/>
        </w:rPr>
        <w:t xml:space="preserve">分；未提供描述或不满足采购需求或内容存在</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处及以上瑕疵该条得</w:t>
      </w:r>
      <w:r>
        <w:rPr>
          <w:rFonts w:hint="eastAsia" w:cs="宋体" w:asciiTheme="minorEastAsia" w:hAnsiTheme="minorEastAsia" w:eastAsiaTheme="minorEastAsia"/>
          <w:bCs/>
          <w:color w:val="auto"/>
          <w:sz w:val="24"/>
          <w:szCs w:val="24"/>
          <w:highlight w:val="none"/>
          <w:lang w:val="en-US" w:eastAsia="zh-CN"/>
        </w:rPr>
        <w:t xml:space="preserve">0.5</w:t>
      </w:r>
      <w:r>
        <w:rPr>
          <w:rFonts w:hint="eastAsia" w:cs="宋体" w:asciiTheme="minorEastAsia" w:hAnsiTheme="minorEastAsia" w:eastAsiaTheme="minorEastAsia"/>
          <w:bCs/>
          <w:color w:val="auto"/>
          <w:sz w:val="24"/>
          <w:szCs w:val="24"/>
          <w:highlight w:val="none"/>
        </w:rPr>
        <w:t xml:space="preserve">分；未提供描述或不满足采购需求或内容存在3处及以上瑕疵该条得0分。</w:t>
      </w:r>
      <w:r/>
    </w:p>
    <w:p>
      <w:pPr>
        <w:pStyle w:val="1165"/>
        <w:ind w:firstLine="480"/>
        <w:spacing w:line="360" w:lineRule="auto"/>
        <w:rPr>
          <w:rFonts w:hint="eastAsia" w:cs="宋体" w:asciiTheme="minorEastAsia" w:hAnsiTheme="minorEastAsia" w:eastAsiaTheme="minorEastAsia"/>
          <w:bCs/>
          <w:color w:val="auto"/>
          <w:sz w:val="24"/>
          <w:szCs w:val="24"/>
          <w:highlight w:val="none"/>
          <w:lang w:val="en-US" w:eastAsia="zh-CN"/>
        </w:rPr>
      </w:pPr>
      <w:r>
        <w:rPr>
          <w:rFonts w:hint="eastAsia" w:cs="宋体" w:asciiTheme="minorEastAsia" w:hAnsiTheme="minorEastAsia" w:eastAsiaTheme="minorEastAsia"/>
          <w:bCs/>
          <w:color w:val="auto"/>
          <w:sz w:val="24"/>
          <w:szCs w:val="24"/>
          <w:highlight w:val="none"/>
          <w:lang w:val="en-US" w:eastAsia="zh-CN"/>
        </w:rPr>
        <w:t xml:space="preserve">3</w:t>
      </w:r>
      <w:r>
        <w:rPr>
          <w:rFonts w:hint="eastAsia" w:cs="宋体" w:asciiTheme="minorEastAsia" w:hAnsiTheme="minorEastAsia" w:eastAsiaTheme="minorEastAsia"/>
          <w:bCs/>
          <w:color w:val="auto"/>
          <w:sz w:val="24"/>
          <w:szCs w:val="24"/>
          <w:highlight w:val="none"/>
          <w:lang w:eastAsia="zh-CN"/>
        </w:rPr>
        <w:t xml:space="preserve">、</w:t>
      </w:r>
      <w:r>
        <w:rPr>
          <w:rFonts w:hint="eastAsia" w:cs="宋体" w:asciiTheme="minorEastAsia" w:hAnsiTheme="minorEastAsia" w:eastAsiaTheme="minorEastAsia"/>
          <w:bCs/>
          <w:color w:val="auto"/>
          <w:sz w:val="24"/>
          <w:szCs w:val="24"/>
          <w:highlight w:val="none"/>
        </w:rPr>
        <w:t xml:space="preserve">安全文明实施方案（</w:t>
      </w:r>
      <w:r>
        <w:rPr>
          <w:rFonts w:hint="eastAsia" w:cs="宋体" w:asciiTheme="minorEastAsia" w:hAnsiTheme="minorEastAsia" w:eastAsiaTheme="minorEastAsia"/>
          <w:bCs/>
          <w:color w:val="auto"/>
          <w:sz w:val="24"/>
          <w:szCs w:val="24"/>
          <w:highlight w:val="none"/>
          <w:lang w:val="en-US" w:eastAsia="zh-CN"/>
        </w:rPr>
        <w:t xml:space="preserve">3</w:t>
      </w:r>
      <w:r>
        <w:rPr>
          <w:rFonts w:hint="eastAsia" w:cs="宋体" w:asciiTheme="minorEastAsia" w:hAnsiTheme="minorEastAsia" w:eastAsiaTheme="minorEastAsia"/>
          <w:bCs/>
          <w:color w:val="auto"/>
          <w:sz w:val="24"/>
          <w:szCs w:val="24"/>
          <w:highlight w:val="none"/>
        </w:rPr>
        <w:t xml:space="preserve">分)：投标人根据项目要求和采购需求对采购方案的描述，包括但不限于</w:t>
      </w:r>
      <w:r>
        <w:rPr>
          <w:rFonts w:hint="eastAsia" w:cs="宋体" w:asciiTheme="minorEastAsia" w:hAnsiTheme="minorEastAsia" w:eastAsiaTheme="minorEastAsia"/>
          <w:bCs/>
          <w:color w:val="auto"/>
          <w:sz w:val="24"/>
          <w:szCs w:val="24"/>
          <w:highlight w:val="none"/>
          <w:lang w:val="en-US" w:eastAsia="zh-CN"/>
        </w:rPr>
        <w:t xml:space="preserve">①</w:t>
      </w:r>
      <w:r>
        <w:rPr>
          <w:rFonts w:hint="eastAsia" w:cs="宋体" w:asciiTheme="minorEastAsia" w:hAnsiTheme="minorEastAsia" w:eastAsiaTheme="minorEastAsia"/>
          <w:bCs/>
          <w:color w:val="auto"/>
          <w:sz w:val="24"/>
          <w:szCs w:val="24"/>
          <w:highlight w:val="none"/>
        </w:rPr>
        <w:t xml:space="preserve">安全实施措施</w:t>
      </w:r>
      <w:r>
        <w:rPr>
          <w:rFonts w:hint="eastAsia" w:cs="宋体" w:asciiTheme="minorEastAsia" w:hAnsiTheme="minorEastAsia" w:eastAsiaTheme="minorEastAsia"/>
          <w:bCs/>
          <w:color w:val="auto"/>
          <w:sz w:val="24"/>
          <w:szCs w:val="24"/>
          <w:highlight w:val="none"/>
          <w:lang w:eastAsia="zh-CN"/>
        </w:rPr>
        <w:t xml:space="preserve">、</w:t>
      </w:r>
      <w:r>
        <w:rPr>
          <w:rFonts w:hint="eastAsia" w:cs="宋体" w:asciiTheme="minorEastAsia" w:hAnsiTheme="minorEastAsia" w:eastAsiaTheme="minorEastAsia"/>
          <w:bCs/>
          <w:color w:val="auto"/>
          <w:sz w:val="24"/>
          <w:szCs w:val="24"/>
          <w:highlight w:val="none"/>
          <w:lang w:val="en-US" w:eastAsia="zh-CN"/>
        </w:rPr>
        <w:t xml:space="preserve">②</w:t>
      </w:r>
      <w:r>
        <w:rPr>
          <w:rFonts w:hint="eastAsia" w:cs="宋体" w:asciiTheme="minorEastAsia" w:hAnsiTheme="minorEastAsia" w:eastAsiaTheme="minorEastAsia"/>
          <w:bCs/>
          <w:color w:val="auto"/>
          <w:sz w:val="24"/>
          <w:szCs w:val="24"/>
          <w:highlight w:val="none"/>
        </w:rPr>
        <w:t xml:space="preserve">文明实施措施</w:t>
      </w:r>
      <w:r>
        <w:rPr>
          <w:rFonts w:hint="eastAsia" w:cs="宋体" w:asciiTheme="minorEastAsia" w:hAnsiTheme="minorEastAsia" w:eastAsiaTheme="minorEastAsia"/>
          <w:bCs/>
          <w:color w:val="auto"/>
          <w:sz w:val="24"/>
          <w:szCs w:val="24"/>
          <w:highlight w:val="none"/>
          <w:lang w:eastAsia="zh-CN"/>
        </w:rPr>
        <w:t xml:space="preserve">、</w:t>
      </w:r>
      <w:r>
        <w:rPr>
          <w:rFonts w:hint="eastAsia" w:cs="宋体" w:asciiTheme="minorEastAsia" w:hAnsiTheme="minorEastAsia" w:eastAsiaTheme="minorEastAsia"/>
          <w:bCs/>
          <w:color w:val="auto"/>
          <w:sz w:val="24"/>
          <w:szCs w:val="24"/>
          <w:highlight w:val="none"/>
          <w:lang w:val="en-US" w:eastAsia="zh-CN"/>
        </w:rPr>
        <w:t xml:space="preserve">③</w:t>
      </w:r>
      <w:r>
        <w:rPr>
          <w:rFonts w:hint="eastAsia" w:cs="宋体" w:asciiTheme="minorEastAsia" w:hAnsiTheme="minorEastAsia" w:eastAsiaTheme="minorEastAsia"/>
          <w:bCs/>
          <w:color w:val="auto"/>
          <w:sz w:val="24"/>
          <w:szCs w:val="24"/>
          <w:highlight w:val="none"/>
        </w:rPr>
        <w:t xml:space="preserve">环境保护措施</w:t>
      </w:r>
      <w:r>
        <w:rPr>
          <w:rFonts w:hint="eastAsia" w:cs="宋体" w:asciiTheme="minorEastAsia" w:hAnsiTheme="minorEastAsia" w:eastAsiaTheme="minorEastAsia"/>
          <w:bCs/>
          <w:color w:val="auto"/>
          <w:sz w:val="24"/>
          <w:szCs w:val="24"/>
          <w:highlight w:val="none"/>
          <w:lang w:eastAsia="zh-CN"/>
        </w:rPr>
        <w:t xml:space="preserve">，</w:t>
      </w:r>
      <w:r>
        <w:rPr>
          <w:rFonts w:hint="eastAsia" w:cs="宋体" w:asciiTheme="minorEastAsia" w:hAnsiTheme="minorEastAsia" w:eastAsiaTheme="minorEastAsia"/>
          <w:bCs/>
          <w:color w:val="auto"/>
          <w:sz w:val="24"/>
          <w:szCs w:val="24"/>
          <w:highlight w:val="none"/>
        </w:rPr>
        <w:t xml:space="preserve">上述内容要求描述内容完整、合理、可行性强，每有一项内容进行了描述且满足采购需求不存在瑕疵的得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 xml:space="preserve">1</w:t>
      </w:r>
      <w:r>
        <w:rPr>
          <w:rFonts w:hint="eastAsia" w:cs="宋体" w:asciiTheme="minorEastAsia" w:hAnsiTheme="minorEastAsia" w:eastAsiaTheme="minorEastAsia"/>
          <w:bCs/>
          <w:color w:val="auto"/>
          <w:sz w:val="24"/>
          <w:szCs w:val="24"/>
          <w:highlight w:val="none"/>
        </w:rPr>
        <w:t xml:space="preserve">分；以上内容存在1处瑕疵则该条得</w:t>
      </w:r>
      <w:r>
        <w:rPr>
          <w:rFonts w:hint="eastAsia" w:cs="宋体" w:asciiTheme="minorEastAsia" w:hAnsiTheme="minorEastAsia" w:eastAsiaTheme="minorEastAsia"/>
          <w:bCs/>
          <w:color w:val="auto"/>
          <w:sz w:val="24"/>
          <w:szCs w:val="24"/>
          <w:highlight w:val="none"/>
          <w:lang w:val="en-US" w:eastAsia="zh-CN"/>
        </w:rPr>
        <w:t xml:space="preserve">0.5</w:t>
      </w:r>
      <w:r>
        <w:rPr>
          <w:rFonts w:hint="eastAsia" w:cs="宋体" w:asciiTheme="minorEastAsia" w:hAnsiTheme="minorEastAsia" w:eastAsiaTheme="minorEastAsia"/>
          <w:bCs/>
          <w:color w:val="auto"/>
          <w:sz w:val="24"/>
          <w:szCs w:val="24"/>
          <w:highlight w:val="none"/>
        </w:rPr>
        <w:t xml:space="preserve">分；未提供描述或不满足采购需求或内容存在</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处及以上瑕疵该条得0分。</w:t>
      </w:r>
      <w:r/>
    </w:p>
    <w:p>
      <w:pPr>
        <w:pStyle w:val="1165"/>
        <w:ind w:firstLine="480"/>
        <w:spacing w:line="360" w:lineRule="auto"/>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 xml:space="preserve">4、应急保障</w:t>
      </w:r>
      <w:r>
        <w:rPr>
          <w:rFonts w:hint="eastAsia" w:cs="宋体" w:asciiTheme="minorEastAsia" w:hAnsiTheme="minorEastAsia" w:eastAsiaTheme="minorEastAsia"/>
          <w:bCs/>
          <w:color w:val="auto"/>
          <w:sz w:val="24"/>
          <w:szCs w:val="24"/>
          <w:highlight w:val="none"/>
        </w:rPr>
        <w:t xml:space="preserve">方案（</w:t>
      </w:r>
      <w:r>
        <w:rPr>
          <w:rFonts w:hint="eastAsia" w:cs="宋体" w:asciiTheme="minorEastAsia" w:hAnsiTheme="minorEastAsia" w:eastAsiaTheme="minorEastAsia"/>
          <w:bCs/>
          <w:color w:val="auto"/>
          <w:sz w:val="24"/>
          <w:szCs w:val="24"/>
          <w:highlight w:val="none"/>
          <w:lang w:val="en-US" w:eastAsia="zh-CN"/>
        </w:rPr>
        <w:t xml:space="preserve">10</w:t>
      </w:r>
      <w:r>
        <w:rPr>
          <w:rFonts w:hint="eastAsia" w:cs="宋体" w:asciiTheme="minorEastAsia" w:hAnsiTheme="minorEastAsia" w:eastAsiaTheme="minorEastAsia"/>
          <w:bCs/>
          <w:color w:val="auto"/>
          <w:sz w:val="24"/>
          <w:szCs w:val="24"/>
          <w:highlight w:val="none"/>
        </w:rPr>
        <w:t xml:space="preserve">分）：投标人根据项目要求和采购需求对售后服务方案的描述，包括但不限于①风险识别、②风险评估、③事前预防、④应急措施</w:t>
      </w:r>
      <w:r>
        <w:rPr>
          <w:rFonts w:hint="eastAsia" w:cs="宋体" w:asciiTheme="minorEastAsia" w:hAnsiTheme="minorEastAsia" w:eastAsiaTheme="minorEastAsia"/>
          <w:bCs/>
          <w:color w:val="auto"/>
          <w:sz w:val="24"/>
          <w:szCs w:val="24"/>
          <w:highlight w:val="none"/>
          <w:lang w:eastAsia="zh-CN"/>
        </w:rPr>
        <w:t xml:space="preserve">、</w:t>
      </w:r>
      <w:r>
        <w:rPr>
          <w:rFonts w:hint="eastAsia" w:cs="宋体" w:asciiTheme="minorEastAsia" w:hAnsiTheme="minorEastAsia" w:eastAsiaTheme="minorEastAsia"/>
          <w:bCs/>
          <w:color w:val="auto"/>
          <w:sz w:val="24"/>
          <w:szCs w:val="24"/>
          <w:highlight w:val="none"/>
          <w:lang w:val="en-US" w:eastAsia="zh-CN"/>
        </w:rPr>
        <w:t xml:space="preserve">⑤处理与恢复等</w:t>
      </w:r>
      <w:r>
        <w:rPr>
          <w:rFonts w:hint="eastAsia" w:cs="宋体" w:asciiTheme="minorEastAsia" w:hAnsiTheme="minorEastAsia" w:eastAsiaTheme="minorEastAsia"/>
          <w:bCs/>
          <w:color w:val="auto"/>
          <w:sz w:val="24"/>
          <w:szCs w:val="24"/>
          <w:highlight w:val="none"/>
        </w:rPr>
        <w:t xml:space="preserve">，要求描述内容完整、合理、可行性强，每有一项内容进行了描述且满足采购需求不存在瑕疵的得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分；以上内容存在1处瑕疵则该条得</w:t>
      </w:r>
      <w:r>
        <w:rPr>
          <w:rFonts w:hint="eastAsia" w:cs="宋体" w:asciiTheme="minorEastAsia" w:hAnsiTheme="minorEastAsia" w:eastAsiaTheme="minorEastAsia"/>
          <w:bCs/>
          <w:color w:val="auto"/>
          <w:sz w:val="24"/>
          <w:szCs w:val="24"/>
          <w:highlight w:val="none"/>
          <w:lang w:val="en-US" w:eastAsia="zh-CN"/>
        </w:rPr>
        <w:t xml:space="preserve">1</w:t>
      </w:r>
      <w:r>
        <w:rPr>
          <w:rFonts w:hint="eastAsia" w:cs="宋体" w:asciiTheme="minorEastAsia" w:hAnsiTheme="minorEastAsia" w:eastAsiaTheme="minorEastAsia"/>
          <w:bCs/>
          <w:color w:val="auto"/>
          <w:sz w:val="24"/>
          <w:szCs w:val="24"/>
          <w:highlight w:val="none"/>
        </w:rPr>
        <w:t xml:space="preserve">分；以上内容存在2处瑕疵则该条得</w:t>
      </w:r>
      <w:r>
        <w:rPr>
          <w:rFonts w:hint="eastAsia" w:cs="宋体" w:asciiTheme="minorEastAsia" w:hAnsiTheme="minorEastAsia" w:eastAsiaTheme="minorEastAsia"/>
          <w:bCs/>
          <w:color w:val="auto"/>
          <w:sz w:val="24"/>
          <w:szCs w:val="24"/>
          <w:highlight w:val="none"/>
          <w:lang w:val="en-US" w:eastAsia="zh-CN"/>
        </w:rPr>
        <w:t xml:space="preserve">0.5</w:t>
      </w:r>
      <w:r>
        <w:rPr>
          <w:rFonts w:hint="eastAsia" w:cs="宋体" w:asciiTheme="minorEastAsia" w:hAnsiTheme="minorEastAsia" w:eastAsiaTheme="minorEastAsia"/>
          <w:bCs/>
          <w:color w:val="auto"/>
          <w:sz w:val="24"/>
          <w:szCs w:val="24"/>
          <w:highlight w:val="none"/>
        </w:rPr>
        <w:t xml:space="preserve">分；未提供描述或不满足采购需求或内容存在3处及以上瑕疵该条得0分。</w:t>
      </w:r>
      <w:r/>
    </w:p>
    <w:p>
      <w:pPr>
        <w:pStyle w:val="1165"/>
        <w:ind w:firstLine="480"/>
        <w:spacing w:line="360" w:lineRule="auto"/>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 xml:space="preserve">5、培训</w:t>
      </w:r>
      <w:r>
        <w:rPr>
          <w:rFonts w:hint="eastAsia" w:cs="宋体" w:asciiTheme="minorEastAsia" w:hAnsiTheme="minorEastAsia" w:eastAsiaTheme="minorEastAsia"/>
          <w:bCs/>
          <w:color w:val="auto"/>
          <w:sz w:val="24"/>
          <w:szCs w:val="24"/>
          <w:highlight w:val="none"/>
        </w:rPr>
        <w:t xml:space="preserve">方案（</w:t>
      </w:r>
      <w:r>
        <w:rPr>
          <w:rFonts w:hint="eastAsia" w:cs="宋体" w:asciiTheme="minorEastAsia" w:hAnsiTheme="minorEastAsia" w:eastAsiaTheme="minorEastAsia"/>
          <w:bCs/>
          <w:color w:val="auto"/>
          <w:sz w:val="24"/>
          <w:szCs w:val="24"/>
          <w:highlight w:val="none"/>
          <w:lang w:val="en-US" w:eastAsia="zh-CN"/>
        </w:rPr>
        <w:t xml:space="preserve">8</w:t>
      </w:r>
      <w:r>
        <w:rPr>
          <w:rFonts w:hint="eastAsia" w:cs="宋体" w:asciiTheme="minorEastAsia" w:hAnsiTheme="minorEastAsia" w:eastAsiaTheme="minorEastAsia"/>
          <w:bCs/>
          <w:color w:val="auto"/>
          <w:sz w:val="24"/>
          <w:szCs w:val="24"/>
          <w:highlight w:val="none"/>
        </w:rPr>
        <w:t xml:space="preserve">分）：投标人根据项目要求和采购需求对售后服务方案的描述，包括但不限于</w:t>
      </w:r>
      <w:r>
        <w:rPr>
          <w:rFonts w:hint="eastAsia" w:ascii="宋体" w:hAnsi="宋体" w:eastAsia="宋体" w:cs="Times New Roman"/>
          <w:b w:val="0"/>
          <w:bCs w:val="0"/>
          <w:color w:val="auto"/>
          <w:sz w:val="24"/>
          <w:szCs w:val="24"/>
          <w:highlight w:val="none"/>
          <w:lang w:val="en-US" w:eastAsia="zh-CN"/>
        </w:rPr>
        <w:t xml:space="preserve">①培训内容、②培训人员安排、③培训周期、④培训方式</w:t>
      </w:r>
      <w:r>
        <w:rPr>
          <w:rFonts w:hint="eastAsia" w:cs="宋体" w:asciiTheme="minorEastAsia" w:hAnsiTheme="minorEastAsia" w:eastAsiaTheme="minorEastAsia"/>
          <w:bCs/>
          <w:color w:val="auto"/>
          <w:sz w:val="24"/>
          <w:szCs w:val="24"/>
          <w:highlight w:val="none"/>
        </w:rPr>
        <w:t xml:space="preserve">，要求描述内容完整、合理、可行性强，每有一项内容进行了描述且满足采购需求不存在瑕疵的得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分；以上内容存在1处瑕疵则该条得</w:t>
      </w:r>
      <w:r>
        <w:rPr>
          <w:rFonts w:hint="eastAsia" w:cs="宋体" w:asciiTheme="minorEastAsia" w:hAnsiTheme="minorEastAsia" w:eastAsiaTheme="minorEastAsia"/>
          <w:bCs/>
          <w:color w:val="auto"/>
          <w:sz w:val="24"/>
          <w:szCs w:val="24"/>
          <w:highlight w:val="none"/>
          <w:lang w:val="en-US" w:eastAsia="zh-CN"/>
        </w:rPr>
        <w:t xml:space="preserve">1</w:t>
      </w:r>
      <w:r>
        <w:rPr>
          <w:rFonts w:hint="eastAsia" w:cs="宋体" w:asciiTheme="minorEastAsia" w:hAnsiTheme="minorEastAsia" w:eastAsiaTheme="minorEastAsia"/>
          <w:bCs/>
          <w:color w:val="auto"/>
          <w:sz w:val="24"/>
          <w:szCs w:val="24"/>
          <w:highlight w:val="none"/>
        </w:rPr>
        <w:t xml:space="preserve">分；以上内容存在2处瑕疵则该条得</w:t>
      </w:r>
      <w:r>
        <w:rPr>
          <w:rFonts w:hint="eastAsia" w:cs="宋体" w:asciiTheme="minorEastAsia" w:hAnsiTheme="minorEastAsia" w:eastAsiaTheme="minorEastAsia"/>
          <w:bCs/>
          <w:color w:val="auto"/>
          <w:sz w:val="24"/>
          <w:szCs w:val="24"/>
          <w:highlight w:val="none"/>
          <w:lang w:val="en-US" w:eastAsia="zh-CN"/>
        </w:rPr>
        <w:t xml:space="preserve">0.5</w:t>
      </w:r>
      <w:r>
        <w:rPr>
          <w:rFonts w:hint="eastAsia" w:cs="宋体" w:asciiTheme="minorEastAsia" w:hAnsiTheme="minorEastAsia" w:eastAsiaTheme="minorEastAsia"/>
          <w:bCs/>
          <w:color w:val="auto"/>
          <w:sz w:val="24"/>
          <w:szCs w:val="24"/>
          <w:highlight w:val="none"/>
        </w:rPr>
        <w:t xml:space="preserve">分；未提供描述或不满足采购需求或内容存在3处及以上瑕疵该条得0分。</w:t>
      </w:r>
      <w:r/>
    </w:p>
    <w:p>
      <w:pPr>
        <w:pStyle w:val="1165"/>
        <w:ind w:firstLine="480"/>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lang w:val="en-US" w:eastAsia="zh-CN"/>
        </w:rPr>
        <w:t xml:space="preserve">6、</w:t>
      </w:r>
      <w:r>
        <w:rPr>
          <w:rFonts w:hint="eastAsia" w:cs="宋体" w:asciiTheme="minorEastAsia" w:hAnsiTheme="minorEastAsia" w:eastAsiaTheme="minorEastAsia"/>
          <w:bCs/>
          <w:color w:val="auto"/>
          <w:sz w:val="24"/>
          <w:szCs w:val="24"/>
          <w:highlight w:val="none"/>
        </w:rPr>
        <w:t xml:space="preserve">售后服务方案（</w:t>
      </w:r>
      <w:r>
        <w:rPr>
          <w:rFonts w:hint="eastAsia" w:cs="宋体" w:asciiTheme="minorEastAsia" w:hAnsiTheme="minorEastAsia" w:eastAsiaTheme="minorEastAsia"/>
          <w:bCs/>
          <w:color w:val="auto"/>
          <w:sz w:val="24"/>
          <w:szCs w:val="24"/>
          <w:highlight w:val="none"/>
          <w:lang w:val="en-US" w:eastAsia="zh-CN"/>
        </w:rPr>
        <w:t xml:space="preserve">10</w:t>
      </w:r>
      <w:r>
        <w:rPr>
          <w:rFonts w:hint="eastAsia" w:cs="宋体" w:asciiTheme="minorEastAsia" w:hAnsiTheme="minorEastAsia" w:eastAsiaTheme="minorEastAsia"/>
          <w:bCs/>
          <w:color w:val="auto"/>
          <w:sz w:val="24"/>
          <w:szCs w:val="24"/>
          <w:highlight w:val="none"/>
        </w:rPr>
        <w:t xml:space="preserve">分）：投标人根据项目要求和采购需求对售后服务方案的描述，包括但不限于①</w:t>
      </w:r>
      <w:bookmarkStart w:id="46" w:name="OLE_LINK60"/>
      <w:r>
        <w:rPr>
          <w:rFonts w:hint="eastAsia" w:cs="宋体" w:asciiTheme="minorEastAsia" w:hAnsiTheme="minorEastAsia" w:eastAsiaTheme="minorEastAsia"/>
          <w:bCs/>
          <w:color w:val="auto"/>
          <w:sz w:val="24"/>
          <w:szCs w:val="24"/>
          <w:highlight w:val="none"/>
        </w:rPr>
        <w:t xml:space="preserve">服务体系</w:t>
      </w:r>
      <w:bookmarkEnd w:id="46"/>
      <w:r>
        <w:rPr>
          <w:rFonts w:hint="eastAsia" w:cs="宋体" w:asciiTheme="minorEastAsia" w:hAnsiTheme="minorEastAsia" w:eastAsiaTheme="minorEastAsia"/>
          <w:bCs/>
          <w:color w:val="auto"/>
          <w:sz w:val="24"/>
          <w:szCs w:val="24"/>
          <w:highlight w:val="none"/>
        </w:rPr>
        <w:t xml:space="preserve">、②</w:t>
      </w:r>
      <w:bookmarkStart w:id="47" w:name="OLE_LINK62"/>
      <w:r>
        <w:rPr>
          <w:rFonts w:hint="eastAsia" w:cs="宋体" w:asciiTheme="minorEastAsia" w:hAnsiTheme="minorEastAsia" w:eastAsiaTheme="minorEastAsia"/>
          <w:bCs/>
          <w:color w:val="auto"/>
          <w:sz w:val="24"/>
          <w:szCs w:val="24"/>
          <w:highlight w:val="none"/>
        </w:rPr>
        <w:t xml:space="preserve">服务内容</w:t>
      </w:r>
      <w:bookmarkEnd w:id="47"/>
      <w:r>
        <w:rPr>
          <w:rFonts w:hint="eastAsia" w:cs="宋体" w:asciiTheme="minorEastAsia" w:hAnsiTheme="minorEastAsia" w:eastAsiaTheme="minorEastAsia"/>
          <w:bCs/>
          <w:color w:val="auto"/>
          <w:sz w:val="24"/>
          <w:szCs w:val="24"/>
          <w:highlight w:val="none"/>
        </w:rPr>
        <w:t xml:space="preserve">、③</w:t>
      </w:r>
      <w:bookmarkStart w:id="48" w:name="OLE_LINK63"/>
      <w:r>
        <w:rPr>
          <w:rFonts w:hint="eastAsia" w:cs="宋体" w:asciiTheme="minorEastAsia" w:hAnsiTheme="minorEastAsia" w:eastAsiaTheme="minorEastAsia"/>
          <w:bCs/>
          <w:color w:val="auto"/>
          <w:sz w:val="24"/>
          <w:szCs w:val="24"/>
          <w:highlight w:val="none"/>
        </w:rPr>
        <w:t xml:space="preserve">故障解决方案</w:t>
      </w:r>
      <w:bookmarkEnd w:id="48"/>
      <w:r>
        <w:rPr>
          <w:rFonts w:hint="eastAsia" w:cs="宋体" w:asciiTheme="minorEastAsia" w:hAnsiTheme="minorEastAsia" w:eastAsiaTheme="minorEastAsia"/>
          <w:bCs/>
          <w:color w:val="auto"/>
          <w:sz w:val="24"/>
          <w:szCs w:val="24"/>
          <w:highlight w:val="none"/>
        </w:rPr>
        <w:t xml:space="preserve">、④</w:t>
      </w:r>
      <w:bookmarkStart w:id="49" w:name="OLE_LINK64"/>
      <w:r>
        <w:rPr>
          <w:rFonts w:hint="eastAsia" w:cs="宋体" w:asciiTheme="minorEastAsia" w:hAnsiTheme="minorEastAsia" w:eastAsiaTheme="minorEastAsia"/>
          <w:bCs/>
          <w:color w:val="auto"/>
          <w:sz w:val="24"/>
          <w:szCs w:val="24"/>
          <w:highlight w:val="none"/>
        </w:rPr>
        <w:t xml:space="preserve">专业技术人员保障及服务电话</w:t>
      </w:r>
      <w:bookmarkEnd w:id="49"/>
      <w:r>
        <w:rPr>
          <w:rFonts w:hint="eastAsia" w:cs="宋体" w:asciiTheme="minorEastAsia" w:hAnsiTheme="minorEastAsia" w:eastAsiaTheme="minorEastAsia"/>
          <w:bCs/>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lang w:val="en-US" w:eastAsia="zh-CN"/>
        </w:rPr>
        <w:t xml:space="preserve">⑤相应的服务细则和规范的管理制度</w:t>
      </w:r>
      <w:r>
        <w:rPr>
          <w:rFonts w:hint="eastAsia" w:cs="宋体" w:asciiTheme="minorEastAsia" w:hAnsiTheme="minorEastAsia" w:eastAsiaTheme="minorEastAsia"/>
          <w:bCs/>
          <w:color w:val="auto"/>
          <w:sz w:val="24"/>
          <w:szCs w:val="24"/>
          <w:highlight w:val="none"/>
        </w:rPr>
        <w:t xml:space="preserve">，要求描述内容完整、合理、可行性强，每有一项</w:t>
      </w:r>
      <w:bookmarkStart w:id="50" w:name="OLE_LINK61"/>
      <w:r>
        <w:rPr>
          <w:rFonts w:hint="eastAsia" w:cs="宋体" w:asciiTheme="minorEastAsia" w:hAnsiTheme="minorEastAsia" w:eastAsiaTheme="minorEastAsia"/>
          <w:bCs/>
          <w:color w:val="auto"/>
          <w:sz w:val="24"/>
          <w:szCs w:val="24"/>
          <w:highlight w:val="none"/>
        </w:rPr>
        <w:t xml:space="preserve">内容进行了描述且满足采购需求不存在瑕疵的得</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分；以上内容存在1处瑕疵则该条得</w:t>
      </w:r>
      <w:r>
        <w:rPr>
          <w:rFonts w:hint="eastAsia" w:cs="宋体" w:asciiTheme="minorEastAsia" w:hAnsiTheme="minorEastAsia" w:eastAsiaTheme="minorEastAsia"/>
          <w:bCs/>
          <w:color w:val="auto"/>
          <w:sz w:val="24"/>
          <w:szCs w:val="24"/>
          <w:highlight w:val="none"/>
          <w:lang w:val="en-US" w:eastAsia="zh-CN"/>
        </w:rPr>
        <w:t xml:space="preserve">1</w:t>
      </w:r>
      <w:r>
        <w:rPr>
          <w:rFonts w:hint="eastAsia" w:cs="宋体" w:asciiTheme="minorEastAsia" w:hAnsiTheme="minorEastAsia" w:eastAsiaTheme="minorEastAsia"/>
          <w:bCs/>
          <w:color w:val="auto"/>
          <w:sz w:val="24"/>
          <w:szCs w:val="24"/>
          <w:highlight w:val="none"/>
        </w:rPr>
        <w:t xml:space="preserve">分；以上内容存在2处瑕疵则该条得</w:t>
      </w:r>
      <w:r>
        <w:rPr>
          <w:rFonts w:hint="eastAsia" w:cs="宋体" w:asciiTheme="minorEastAsia" w:hAnsiTheme="minorEastAsia" w:eastAsiaTheme="minorEastAsia"/>
          <w:bCs/>
          <w:color w:val="auto"/>
          <w:sz w:val="24"/>
          <w:szCs w:val="24"/>
          <w:highlight w:val="none"/>
          <w:lang w:val="en-US" w:eastAsia="zh-CN"/>
        </w:rPr>
        <w:t xml:space="preserve">0.5</w:t>
      </w:r>
      <w:r>
        <w:rPr>
          <w:rFonts w:hint="eastAsia" w:cs="宋体" w:asciiTheme="minorEastAsia" w:hAnsiTheme="minorEastAsia" w:eastAsiaTheme="minorEastAsia"/>
          <w:bCs/>
          <w:color w:val="auto"/>
          <w:sz w:val="24"/>
          <w:szCs w:val="24"/>
          <w:highlight w:val="none"/>
        </w:rPr>
        <w:t xml:space="preserve">分；未提供描述或不满足采购需求或内容存在3处及以上瑕疵该条得0分。</w:t>
      </w:r>
      <w:bookmarkEnd w:id="50"/>
      <w:r/>
      <w:r/>
    </w:p>
    <w:p>
      <w:pPr>
        <w:ind w:firstLine="482"/>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四、政策加分</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ind w:firstLine="480"/>
        <w:jc w:val="left"/>
        <w:spacing w:line="360" w:lineRule="auto"/>
        <w:widowControl/>
        <w:rPr>
          <w:rFonts w:ascii="宋体" w:hAnsi="宋体" w:eastAsia="宋体" w:cs="宋体"/>
          <w:bCs/>
          <w:color w:val="auto"/>
          <w:sz w:val="24"/>
          <w:szCs w:val="24"/>
        </w:rPr>
      </w:pPr>
      <w:r/>
      <w:bookmarkStart w:id="51" w:name="OLE_LINK87"/>
      <w:r>
        <w:rPr>
          <w:rFonts w:hint="eastAsia" w:ascii="宋体" w:hAnsi="宋体" w:eastAsia="宋体" w:cs="宋体"/>
          <w:bCs/>
          <w:color w:val="auto"/>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分，最高得</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w:t>
      </w:r>
      <w:r/>
    </w:p>
    <w:p>
      <w:pPr>
        <w:ind w:firstLine="480"/>
        <w:jc w:val="left"/>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注：同一产品同时具备节能产品认证证书、环境标志产品认证证书的，不重复计分。投标时提供认证证书扫描件。</w:t>
      </w:r>
      <w:bookmarkEnd w:id="51"/>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118"/>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118"/>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JSZC-320205-JZCG-G2026-0028</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无锡市锡山人民医院东亭分院改扩建项目医用气体采购项目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118"/>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118"/>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118"/>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144"/>
        <w:ind w:firstLine="0"/>
        <w:rPr>
          <w:color w:val="000000"/>
          <w:highlight w:val="none"/>
        </w:rPr>
      </w:pPr>
      <w:r/>
      <w:bookmarkStart w:id="52" w:name="一．报价函（格式）"/>
      <w:r/>
      <w:bookmarkEnd w:id="52"/>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JSZC-320205-JZCG-G2026-0028</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88"/>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3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344"/>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53" w:name="报价方关于资格的声明函（格式）"/>
      <w:r/>
      <w:bookmarkEnd w:id="53"/>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JSZC-320205-JZCG-G2026-0028</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无锡市锡山人民医院东亭分院改扩建项目医用气体采购项目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01"/>
        <w:rPr>
          <w:highlight w:val="none"/>
        </w:rPr>
      </w:pPr>
      <w:r>
        <w:rPr>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JSZC-320205-JZCG-G2026-0028</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无锡市锡山人民医院东亭分院改扩建项目医用气体采购项目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18"/>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18"/>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8" o:spid="_x0000_s8"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9" o:spid="_x0000_s9"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44"/>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34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44"/>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1"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0" o:spid="_x0000_s10"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 o:spid="_x0000_s11"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5"/>
        <w:rPr>
          <w:color w:val="000000"/>
          <w:highlight w:val="none"/>
        </w:rPr>
      </w:pPr>
      <w:r>
        <w:rPr>
          <w:color w:val="000000"/>
          <w:highlight w:val="none"/>
        </w:rPr>
      </w:r>
      <w:r/>
    </w:p>
    <w:p>
      <w:pPr>
        <w:pStyle w:val="134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4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4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4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4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4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4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4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4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352"/>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JSZC-320205-JZCG-G2026-0028</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20"/>
          <w:footerReference w:type="first" r:id="rId21"/>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118"/>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1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1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108"/>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1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1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47"/>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118"/>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48"/>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118"/>
        <w:ind w:left="0"/>
        <w:rPr>
          <w:highlight w:val="none"/>
        </w:rPr>
      </w:pPr>
      <w:r>
        <w:rPr>
          <w:highlight w:val="none"/>
        </w:rPr>
      </w:r>
      <w:r/>
    </w:p>
    <w:p>
      <w:pPr>
        <w:pStyle w:val="1118"/>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108"/>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364"/>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364"/>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36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196"/>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196"/>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118"/>
        <w:rPr>
          <w:color w:val="000000"/>
          <w:highlight w:val="none"/>
        </w:rPr>
      </w:pPr>
      <w:r>
        <w:rPr>
          <w:color w:val="000000"/>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无锡市锡山人民医院东亭分院改扩建项目医用气体采购项目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108"/>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JSZC-320205-JZCG-G2026-0028</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eastAsia" w:ascii="宋体" w:hAnsi="宋体" w:eastAsia="宋体" w:cs="Times New Roman"/>
          <w:b/>
          <w:bCs w:val="0"/>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技术部分”逐条列明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参数要求、工程量、计量</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bCs w:val="0"/>
          <w:color w:val="c00000"/>
          <w:sz w:val="28"/>
          <w:szCs w:val="28"/>
          <w:highlight w:val="none"/>
          <w:lang w:val="en-US" w:eastAsia="zh-CN"/>
        </w:rPr>
        <w:t xml:space="preserve">单位</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196"/>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45"/>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319"/>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10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345"/>
        <w:rPr>
          <w:rFonts w:ascii="宋体" w:hAnsi="宋体"/>
          <w:b/>
          <w:bCs/>
          <w:color w:val="000000"/>
          <w:sz w:val="24"/>
          <w:szCs w:val="24"/>
          <w:highlight w:val="none"/>
        </w:rPr>
      </w:pPr>
      <w:r>
        <w:rPr>
          <w:rFonts w:ascii="宋体" w:hAnsi="宋体"/>
          <w:b/>
          <w:bCs/>
          <w:color w:val="000000"/>
          <w:sz w:val="24"/>
          <w:szCs w:val="24"/>
          <w:highlight w:val="none"/>
        </w:rPr>
      </w:r>
      <w:r/>
    </w:p>
    <w:p>
      <w:pPr>
        <w:pStyle w:val="1345"/>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2"/>
          <w:footerReference w:type="first" r:id="rId23"/>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317"/>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54"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54"/>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4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4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4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114"/>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16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5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317"/>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317"/>
        <w:spacing w:before="160" w:after="160"/>
        <w:rPr>
          <w:b w:val="0"/>
          <w:color w:val="000000"/>
          <w:sz w:val="24"/>
          <w:highlight w:val="none"/>
        </w:rPr>
      </w:pPr>
      <w:r/>
      <w:bookmarkStart w:id="55"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55"/>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4"/>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4"/>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4"/>
                            <w:tabs>
                              <w:tab w:val="center" w:pos="4153" w:leader="none"/>
                              <w:tab w:val="clear" w:pos="7143" w:leader="none"/>
                              <w:tab w:val="right" w:pos="8306" w:leader="none"/>
                              <w:tab w:val="clear" w:pos="14287" w:leader="none"/>
                            </w:tabs>
                            <w:rPr>
                              <w:color w:val="auto"/>
                              <w:sz w:val="21"/>
                              <w:szCs w:val="21"/>
                            </w:rPr>
                          </w:pPr>
                          <w:r>
                            <w:rPr>
                              <w:color w:val="auto"/>
                              <w:sz w:val="21"/>
                              <w:szCs w:val="21"/>
                            </w:rPr>
                            <w:fldChar w:fldCharType="begin"/>
                          </w:r>
                          <w:r>
                            <w:rPr>
                              <w:color w:val="auto"/>
                              <w:sz w:val="21"/>
                              <w:szCs w:val="21"/>
                            </w:rPr>
                            <w:instrText xml:space="preserve"> PAGE  \* MERGEFORMAT </w:instrText>
                          </w:r>
                          <w:r>
                            <w:rPr>
                              <w:color w:val="auto"/>
                              <w:sz w:val="21"/>
                              <w:szCs w:val="21"/>
                            </w:rPr>
                            <w:fldChar w:fldCharType="separate"/>
                          </w:r>
                          <w:r>
                            <w:rPr>
                              <w:color w:val="auto"/>
                              <w:sz w:val="21"/>
                              <w:szCs w:val="21"/>
                            </w:rPr>
                            <w:t xml:space="preserve">1</w:t>
                          </w:r>
                          <w:r>
                            <w:rPr>
                              <w:color w:val="auto"/>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4"/>
                      <w:tabs>
                        <w:tab w:val="center" w:pos="4153" w:leader="none"/>
                        <w:tab w:val="clear" w:pos="7143" w:leader="none"/>
                        <w:tab w:val="right" w:pos="8306" w:leader="none"/>
                        <w:tab w:val="clear" w:pos="14287" w:leader="none"/>
                      </w:tabs>
                      <w:rPr>
                        <w:color w:val="auto"/>
                        <w:sz w:val="21"/>
                        <w:szCs w:val="21"/>
                      </w:rPr>
                    </w:pPr>
                    <w:r>
                      <w:rPr>
                        <w:color w:val="auto"/>
                        <w:sz w:val="21"/>
                        <w:szCs w:val="21"/>
                      </w:rPr>
                      <w:fldChar w:fldCharType="begin"/>
                    </w:r>
                    <w:r>
                      <w:rPr>
                        <w:color w:val="auto"/>
                        <w:sz w:val="21"/>
                        <w:szCs w:val="21"/>
                      </w:rPr>
                      <w:instrText xml:space="preserve"> PAGE  \* MERGEFORMAT </w:instrText>
                    </w:r>
                    <w:r>
                      <w:rPr>
                        <w:color w:val="auto"/>
                        <w:sz w:val="21"/>
                        <w:szCs w:val="21"/>
                      </w:rPr>
                      <w:fldChar w:fldCharType="separate"/>
                    </w:r>
                    <w:r>
                      <w:rPr>
                        <w:color w:val="auto"/>
                        <w:sz w:val="21"/>
                        <w:szCs w:val="21"/>
                      </w:rPr>
                      <w:t xml:space="preserve">1</w:t>
                    </w:r>
                    <w:r>
                      <w:rPr>
                        <w:color w:val="auto"/>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6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6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jc w:val="both"/>
      <w:rPr>
        <w:rFonts w:hint="eastAsia" w:ascii="宋体" w:hAnsi="宋体" w:eastAsia="宋体" w:cs="宋体"/>
        <w:sz w:val="15"/>
        <w:szCs w:val="15"/>
      </w:rPr>
    </w:pPr>
    <w:r>
      <w:rPr>
        <w:rFonts w:hint="eastAsia" w:eastAsia="楷体_GB2312"/>
        <w:sz w:val="21"/>
        <w:lang w:eastAsia="zh-CN"/>
      </w:rPr>
      <w:t xml:space="preserve">JSZC-320205-JZCG-G2026-0028</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12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rFonts w:ascii="Times New Roman" w:hAnsi="Times New Roman" w:eastAsia="楷体_GB2312"/>
        <w:szCs w:val="21"/>
      </w:rPr>
    </w:pPr>
    <w:r>
      <w:rPr>
        <w:rFonts w:ascii="Times New Roman" w:hAnsi="Times New Roman" w:eastAsia="楷体_GB2312"/>
        <w:szCs w:val="21"/>
      </w:rPr>
    </w:r>
    <w:r/>
  </w:p>
  <w:p>
    <w:pPr>
      <w:pStyle w:val="1126"/>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126"/>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jc w:val="both"/>
      <w:rPr>
        <w:rFonts w:eastAsia="楷体_GB2312"/>
        <w:sz w:val="21"/>
      </w:rPr>
    </w:pPr>
    <w:r>
      <w:rPr>
        <w:rFonts w:eastAsia="楷体_GB2312"/>
        <w:sz w:val="21"/>
      </w:rPr>
    </w:r>
    <w:r/>
  </w:p>
  <w:p>
    <w:pPr>
      <w:pStyle w:val="1364"/>
      <w:jc w:val="both"/>
      <w:rPr>
        <w:rFonts w:hint="eastAsia" w:ascii="宋体" w:hAnsi="宋体" w:eastAsia="宋体" w:cs="宋体"/>
        <w:sz w:val="15"/>
        <w:szCs w:val="15"/>
      </w:rPr>
    </w:pPr>
    <w:r>
      <w:rPr>
        <w:rFonts w:hint="eastAsia" w:eastAsia="楷体_GB2312"/>
        <w:sz w:val="21"/>
        <w:lang w:eastAsia="zh-CN"/>
      </w:rPr>
      <w:t xml:space="preserve">JSZC-320205-JZCG-G2026-0028</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jc w:val="both"/>
      <w:rPr>
        <w:rFonts w:hint="eastAsia"/>
      </w:rPr>
    </w:pPr>
    <w:r>
      <w:rPr>
        <w:rFonts w:hint="eastAsia" w:eastAsia="楷体_GB2312"/>
        <w:sz w:val="21"/>
        <w:lang w:eastAsia="zh-CN"/>
      </w:rPr>
      <w:t xml:space="preserve">JSZC-320205-JZCG-G2026-0028</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JSZC-320205-JZCG-G2026-0028</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jc w:val="both"/>
    </w:pPr>
    <w:r>
      <w:rPr>
        <w:rFonts w:hint="eastAsia" w:eastAsia="楷体_GB2312"/>
        <w:sz w:val="21"/>
        <w:lang w:eastAsia="zh-CN"/>
      </w:rPr>
      <w:t xml:space="preserve">JSZC-320205-JZCG-G2026-0028</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nothing"/>
      <w:lvlText w:val="%1．"/>
      <w:lvlJc w:val="left"/>
      <w:pPr/>
      <w:rPr>
        <w:rFonts w:hint="eastAsia"/>
      </w:rPr>
    </w:lvl>
    <w:lvl w:ilvl="1">
      <w:start w:val="1"/>
      <w:numFmt w:val="bullet"/>
      <w:pStyle w:val="17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749"/>
        <w:isLgl w:val="false"/>
        <w:suff w:val="tab"/>
        <w:lvlText w:val="%1.%2."/>
        <w:lvlJc w:val="left"/>
        <w:pPr>
          <w:ind w:left="567" w:hanging="567"/>
          <w:tabs>
            <w:tab w:val="left" w:pos="567" w:leader="none"/>
          </w:tabs>
        </w:pPr>
        <w:rPr>
          <w:rFonts w:hint="eastAsia"/>
        </w:rPr>
      </w:lvl>
    </w:lvlOverride>
    <w:lvlOverride w:ilvl="2">
      <w:lvl w:ilvl="2">
        <w:start w:val="1"/>
        <w:numFmt w:val="decimal"/>
        <w:pStyle w:val="1748"/>
        <w:isLgl w:val="false"/>
        <w:suff w:val="tab"/>
        <w:lvlText w:val="%1.%2.%3."/>
        <w:lvlJc w:val="left"/>
        <w:pPr>
          <w:ind w:left="709" w:hanging="709"/>
          <w:tabs>
            <w:tab w:val="left" w:pos="709" w:leader="none"/>
          </w:tabs>
        </w:pPr>
        <w:rPr>
          <w:rFonts w:hint="eastAsia"/>
        </w:rPr>
      </w:lvl>
    </w:lvlOverride>
    <w:lvlOverride w:ilvl="3">
      <w:lvl w:ilvl="3">
        <w:start w:val="1"/>
        <w:numFmt w:val="decimal"/>
        <w:pStyle w:val="1566"/>
        <w:isLgl w:val="false"/>
        <w:suff w:val="tab"/>
        <w:lvlText w:val="%1.%2.%3.%4."/>
        <w:lvlJc w:val="left"/>
        <w:pPr>
          <w:ind w:left="851" w:hanging="851"/>
          <w:tabs>
            <w:tab w:val="left" w:pos="851" w:leader="none"/>
          </w:tabs>
        </w:pPr>
        <w:rPr>
          <w:rFonts w:hint="eastAsia"/>
        </w:rPr>
      </w:lvl>
    </w:lvlOverride>
    <w:lvlOverride w:ilvl="4">
      <w:lvl w:ilvl="4">
        <w:start w:val="1"/>
        <w:numFmt w:val="decimal"/>
        <w:pStyle w:val="1563"/>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41"/>
  </w:num>
  <w:num w:numId="3">
    <w:abstractNumId w:val="16"/>
  </w:num>
  <w:num w:numId="4">
    <w:abstractNumId w:val="0"/>
  </w:num>
  <w:num w:numId="5">
    <w:abstractNumId w:val="2"/>
  </w:num>
  <w:num w:numId="6">
    <w:abstractNumId w:val="19"/>
  </w:num>
  <w:num w:numId="7">
    <w:abstractNumId w:val="30"/>
  </w:num>
  <w:num w:numId="8">
    <w:abstractNumId w:val="24"/>
  </w:num>
  <w:num w:numId="9">
    <w:abstractNumId w:val="14"/>
  </w:num>
  <w:num w:numId="10">
    <w:abstractNumId w:val="26"/>
  </w:num>
  <w:num w:numId="11">
    <w:abstractNumId w:val="47"/>
  </w:num>
  <w:num w:numId="12">
    <w:abstractNumId w:val="39"/>
  </w:num>
  <w:num w:numId="13">
    <w:abstractNumId w:val="13"/>
  </w:num>
  <w:num w:numId="14">
    <w:abstractNumId w:val="12"/>
  </w:num>
  <w:num w:numId="15">
    <w:abstractNumId w:val="35"/>
  </w:num>
  <w:num w:numId="16">
    <w:abstractNumId w:val="4"/>
  </w:num>
  <w:num w:numId="17">
    <w:abstractNumId w:val="20"/>
  </w:num>
  <w:num w:numId="18">
    <w:abstractNumId w:val="1"/>
  </w:num>
  <w:num w:numId="19">
    <w:abstractNumId w:val="6"/>
  </w:num>
  <w:num w:numId="20">
    <w:abstractNumId w:val="48"/>
  </w:num>
  <w:num w:numId="21">
    <w:abstractNumId w:val="49"/>
  </w:num>
  <w:num w:numId="22">
    <w:abstractNumId w:val="29"/>
  </w:num>
  <w:num w:numId="23">
    <w:abstractNumId w:val="34"/>
  </w:num>
  <w:num w:numId="24">
    <w:abstractNumId w:val="33"/>
  </w:num>
  <w:num w:numId="25">
    <w:abstractNumId w:val="43"/>
  </w:num>
  <w:num w:numId="26">
    <w:abstractNumId w:val="10"/>
  </w:num>
  <w:num w:numId="27">
    <w:abstractNumId w:val="27"/>
  </w:num>
  <w:num w:numId="28">
    <w:abstractNumId w:val="46"/>
  </w:num>
  <w:num w:numId="29">
    <w:abstractNumId w:val="5"/>
  </w:num>
  <w:num w:numId="30">
    <w:abstractNumId w:val="18"/>
  </w:num>
  <w:num w:numId="31">
    <w:abstractNumId w:val="9"/>
  </w:num>
  <w:num w:numId="32">
    <w:abstractNumId w:val="32"/>
  </w:num>
  <w:num w:numId="33">
    <w:abstractNumId w:val="7"/>
  </w:num>
  <w:num w:numId="34">
    <w:abstractNumId w:val="3"/>
  </w:num>
  <w:num w:numId="35">
    <w:abstractNumId w:val="25"/>
  </w:num>
  <w:num w:numId="36">
    <w:abstractNumId w:val="15"/>
  </w:num>
  <w:num w:numId="37">
    <w:abstractNumId w:val="11"/>
  </w:num>
  <w:num w:numId="38">
    <w:abstractNumId w:val="44"/>
  </w:num>
  <w:num w:numId="39">
    <w:abstractNumId w:val="36"/>
  </w:num>
  <w:num w:numId="40">
    <w:abstractNumId w:val="38"/>
  </w:num>
  <w:num w:numId="41">
    <w:abstractNumId w:val="45"/>
  </w:num>
  <w:num w:numId="42">
    <w:abstractNumId w:val="28"/>
  </w:num>
  <w:num w:numId="43">
    <w:abstractNumId w:val="42"/>
  </w:num>
  <w:num w:numId="44">
    <w:abstractNumId w:val="37"/>
  </w:num>
  <w:num w:numId="45">
    <w:abstractNumId w:val="8"/>
  </w:num>
  <w:num w:numId="46">
    <w:abstractNumId w:val="21"/>
  </w:num>
  <w:num w:numId="47">
    <w:abstractNumId w:val="40"/>
  </w:num>
  <w:num w:numId="48">
    <w:abstractNumId w:val="22"/>
  </w:num>
  <w:num w:numId="49">
    <w:abstractNumId w:val="31"/>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7" w:default="1">
    <w:name w:val="Normal"/>
    <w:link w:val="1768"/>
    <w:uiPriority w:val="0"/>
    <w:qFormat/>
    <w:pPr>
      <w:jc w:val="both"/>
      <w:widowControl w:val="off"/>
    </w:pPr>
    <w:rPr>
      <w:rFonts w:hint="default" w:ascii="等线" w:hAnsi="等线" w:eastAsia="等线" w:cs="Times New Roman"/>
      <w:sz w:val="21"/>
      <w:szCs w:val="22"/>
      <w:lang w:val="en-US" w:eastAsia="zh-CN" w:bidi="ar-SA"/>
    </w:rPr>
  </w:style>
  <w:style w:type="paragraph" w:styleId="1098">
    <w:name w:val="Heading 1"/>
    <w:basedOn w:val="1097"/>
    <w:next w:val="1097"/>
    <w:uiPriority w:val="9"/>
    <w:qFormat/>
    <w:pPr>
      <w:keepLines/>
      <w:keepNext/>
      <w:spacing w:before="480" w:after="200"/>
      <w:outlineLvl w:val="0"/>
    </w:pPr>
    <w:rPr>
      <w:rFonts w:ascii="Arial" w:hAnsi="Arial" w:eastAsia="Arial" w:cs="Arial"/>
      <w:sz w:val="40"/>
      <w:szCs w:val="40"/>
    </w:rPr>
  </w:style>
  <w:style w:type="paragraph" w:styleId="1099">
    <w:name w:val="Heading 2"/>
    <w:basedOn w:val="1097"/>
    <w:next w:val="1097"/>
    <w:uiPriority w:val="9"/>
    <w:unhideWhenUsed/>
    <w:qFormat/>
    <w:pPr>
      <w:keepLines/>
      <w:keepNext/>
      <w:spacing w:before="360" w:after="200"/>
      <w:outlineLvl w:val="1"/>
    </w:pPr>
    <w:rPr>
      <w:rFonts w:ascii="Arial" w:hAnsi="Arial" w:eastAsia="Arial" w:cs="Arial"/>
      <w:sz w:val="34"/>
    </w:rPr>
  </w:style>
  <w:style w:type="paragraph" w:styleId="1100">
    <w:name w:val="Heading 3"/>
    <w:basedOn w:val="1097"/>
    <w:next w:val="1097"/>
    <w:uiPriority w:val="9"/>
    <w:unhideWhenUsed/>
    <w:qFormat/>
    <w:pPr>
      <w:keepLines/>
      <w:keepNext/>
      <w:spacing w:before="320" w:after="200"/>
      <w:outlineLvl w:val="2"/>
    </w:pPr>
    <w:rPr>
      <w:rFonts w:ascii="Arial" w:hAnsi="Arial" w:eastAsia="Arial" w:cs="Arial"/>
      <w:sz w:val="30"/>
      <w:szCs w:val="30"/>
    </w:rPr>
  </w:style>
  <w:style w:type="paragraph" w:styleId="1101">
    <w:name w:val="Heading 4"/>
    <w:basedOn w:val="1097"/>
    <w:next w:val="1097"/>
    <w:uiPriority w:val="9"/>
    <w:unhideWhenUsed/>
    <w:qFormat/>
    <w:pPr>
      <w:keepLines/>
      <w:keepNext/>
      <w:spacing w:before="320" w:after="200"/>
      <w:outlineLvl w:val="3"/>
    </w:pPr>
    <w:rPr>
      <w:rFonts w:ascii="Arial" w:hAnsi="Arial" w:eastAsia="Arial" w:cs="Arial"/>
      <w:b/>
      <w:bCs/>
      <w:sz w:val="26"/>
      <w:szCs w:val="26"/>
    </w:rPr>
  </w:style>
  <w:style w:type="paragraph" w:styleId="1102">
    <w:name w:val="Heading 5"/>
    <w:basedOn w:val="1097"/>
    <w:next w:val="1097"/>
    <w:uiPriority w:val="9"/>
    <w:unhideWhenUsed/>
    <w:qFormat/>
    <w:pPr>
      <w:keepLines/>
      <w:keepNext/>
      <w:spacing w:before="320" w:after="200"/>
      <w:outlineLvl w:val="4"/>
    </w:pPr>
    <w:rPr>
      <w:rFonts w:ascii="Arial" w:hAnsi="Arial" w:eastAsia="Arial" w:cs="Arial"/>
      <w:b/>
      <w:bCs/>
      <w:sz w:val="24"/>
      <w:szCs w:val="24"/>
    </w:rPr>
  </w:style>
  <w:style w:type="paragraph" w:styleId="1103">
    <w:name w:val="Heading 6"/>
    <w:basedOn w:val="1097"/>
    <w:next w:val="1097"/>
    <w:link w:val="1197"/>
    <w:uiPriority w:val="9"/>
    <w:unhideWhenUsed/>
    <w:qFormat/>
    <w:pPr>
      <w:keepLines/>
      <w:keepNext/>
      <w:spacing w:before="320" w:after="200"/>
      <w:outlineLvl w:val="5"/>
    </w:pPr>
    <w:rPr>
      <w:rFonts w:ascii="Arial" w:hAnsi="Arial" w:eastAsia="Arial" w:cs="Arial"/>
      <w:b/>
      <w:bCs/>
      <w:sz w:val="22"/>
    </w:rPr>
  </w:style>
  <w:style w:type="paragraph" w:styleId="1104">
    <w:name w:val="Heading 7"/>
    <w:basedOn w:val="1097"/>
    <w:next w:val="1097"/>
    <w:link w:val="1198"/>
    <w:uiPriority w:val="9"/>
    <w:unhideWhenUsed/>
    <w:qFormat/>
    <w:pPr>
      <w:keepLines/>
      <w:keepNext/>
      <w:spacing w:before="320" w:after="200"/>
      <w:outlineLvl w:val="6"/>
    </w:pPr>
    <w:rPr>
      <w:rFonts w:ascii="Arial" w:hAnsi="Arial" w:eastAsia="Arial" w:cs="Arial"/>
      <w:b/>
      <w:bCs/>
      <w:i/>
      <w:iCs/>
      <w:sz w:val="22"/>
    </w:rPr>
  </w:style>
  <w:style w:type="paragraph" w:styleId="1105">
    <w:name w:val="Heading 8"/>
    <w:basedOn w:val="1097"/>
    <w:next w:val="1097"/>
    <w:link w:val="1199"/>
    <w:uiPriority w:val="9"/>
    <w:unhideWhenUsed/>
    <w:qFormat/>
    <w:pPr>
      <w:keepLines/>
      <w:keepNext/>
      <w:spacing w:before="320" w:after="200"/>
      <w:outlineLvl w:val="7"/>
    </w:pPr>
    <w:rPr>
      <w:rFonts w:ascii="Arial" w:hAnsi="Arial" w:eastAsia="Arial" w:cs="Arial"/>
      <w:i/>
      <w:iCs/>
      <w:sz w:val="22"/>
    </w:rPr>
  </w:style>
  <w:style w:type="paragraph" w:styleId="1106">
    <w:name w:val="Heading 9"/>
    <w:basedOn w:val="1097"/>
    <w:next w:val="1097"/>
    <w:link w:val="1200"/>
    <w:uiPriority w:val="9"/>
    <w:unhideWhenUsed/>
    <w:qFormat/>
    <w:pPr>
      <w:keepLines/>
      <w:keepNext/>
      <w:spacing w:before="320" w:after="200"/>
      <w:outlineLvl w:val="8"/>
    </w:pPr>
    <w:rPr>
      <w:rFonts w:ascii="Arial" w:hAnsi="Arial" w:eastAsia="Arial" w:cs="Arial"/>
      <w:i/>
      <w:iCs/>
      <w:szCs w:val="21"/>
    </w:rPr>
  </w:style>
  <w:style w:type="character" w:styleId="1107" w:default="1">
    <w:name w:val="Default Paragraph Font"/>
    <w:uiPriority w:val="1"/>
    <w:semiHidden/>
    <w:unhideWhenUsed/>
    <w:qFormat/>
  </w:style>
  <w:style w:type="table" w:styleId="1108" w:default="1">
    <w:name w:val="Normal Table"/>
    <w:uiPriority w:val="99"/>
    <w:semiHidden/>
    <w:unhideWhenUsed/>
    <w:qFormat/>
    <w:tblPr>
      <w:tblCellMar>
        <w:left w:w="108" w:type="dxa"/>
        <w:top w:w="0" w:type="dxa"/>
        <w:right w:w="108" w:type="dxa"/>
        <w:bottom w:w="0" w:type="dxa"/>
      </w:tblCellMar>
    </w:tblPr>
  </w:style>
  <w:style w:type="paragraph" w:styleId="1109">
    <w:name w:val="toc 7"/>
    <w:basedOn w:val="1097"/>
    <w:next w:val="1097"/>
    <w:uiPriority w:val="39"/>
    <w:unhideWhenUsed/>
    <w:qFormat/>
    <w:pPr>
      <w:ind w:left="1701"/>
      <w:spacing w:after="57"/>
    </w:pPr>
  </w:style>
  <w:style w:type="paragraph" w:styleId="1110">
    <w:name w:val="Normal Indent"/>
    <w:basedOn w:val="1097"/>
    <w:next w:val="1097"/>
    <w:uiPriority w:val="0"/>
    <w:qFormat/>
    <w:pPr>
      <w:ind w:firstLine="420"/>
    </w:pPr>
    <w:rPr>
      <w:szCs w:val="20"/>
    </w:rPr>
  </w:style>
  <w:style w:type="paragraph" w:styleId="1111">
    <w:name w:val="Caption"/>
    <w:basedOn w:val="1097"/>
    <w:next w:val="10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12">
    <w:name w:val="Document Map"/>
    <w:basedOn w:val="1097"/>
    <w:uiPriority w:val="0"/>
    <w:qFormat/>
    <w:pPr>
      <w:shd w:val="clear" w:color="auto" w:fill="000080"/>
    </w:pPr>
    <w:rPr>
      <w:rFonts w:asciiTheme="minorHAnsi" w:hAnsiTheme="minorHAnsi" w:eastAsiaTheme="minorEastAsia" w:cstheme="minorBidi"/>
      <w:szCs w:val="24"/>
      <w:shd w:val="clear" w:color="auto" w:fill="000080"/>
    </w:rPr>
  </w:style>
  <w:style w:type="paragraph" w:styleId="1113">
    <w:name w:val="annotation text"/>
    <w:basedOn w:val="1097"/>
    <w:uiPriority w:val="0"/>
    <w:qFormat/>
    <w:pPr>
      <w:jc w:val="left"/>
      <w:spacing w:line="360" w:lineRule="auto"/>
    </w:pPr>
    <w:rPr>
      <w:rFonts w:ascii="Calibri" w:hAnsi="Calibri" w:eastAsia="微软雅黑"/>
      <w:szCs w:val="24"/>
      <w:lang w:val="zh-CN"/>
    </w:rPr>
  </w:style>
  <w:style w:type="paragraph" w:styleId="1114">
    <w:name w:val="Body Text"/>
    <w:basedOn w:val="1097"/>
    <w:next w:val="1115"/>
    <w:uiPriority w:val="0"/>
    <w:semiHidden/>
    <w:qFormat/>
    <w:rPr>
      <w:rFonts w:ascii="宋体" w:hAnsi="宋体" w:eastAsia="宋体" w:cs="宋体"/>
      <w:sz w:val="24"/>
      <w:szCs w:val="24"/>
      <w:lang w:eastAsia="en-US"/>
    </w:rPr>
  </w:style>
  <w:style w:type="paragraph" w:styleId="1115" w:customStyle="1">
    <w:name w:val="样式 表格正文 + 两端对齐"/>
    <w:basedOn w:val="1097"/>
    <w:next w:val="1116"/>
    <w:uiPriority w:val="99"/>
    <w:qFormat/>
    <w:pPr>
      <w:spacing w:line="300" w:lineRule="auto"/>
    </w:pPr>
  </w:style>
  <w:style w:type="paragraph" w:styleId="1116" w:customStyle="1">
    <w:name w:val="正文1"/>
    <w:basedOn w:val="1112"/>
    <w:next w:val="1097"/>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17">
    <w:name w:val="Body Text Indent"/>
    <w:basedOn w:val="1097"/>
    <w:next w:val="1097"/>
    <w:uiPriority w:val="0"/>
    <w:qFormat/>
    <w:pPr>
      <w:ind w:firstLine="540"/>
      <w:spacing w:line="360" w:lineRule="auto"/>
      <w:widowControl/>
    </w:pPr>
    <w:rPr>
      <w:rFonts w:ascii="宋体" w:hAnsi="MS Sans Serif"/>
      <w:spacing w:val="12"/>
      <w:sz w:val="24"/>
    </w:rPr>
  </w:style>
  <w:style w:type="paragraph" w:styleId="1118">
    <w:name w:val="index 4"/>
    <w:basedOn w:val="1097"/>
    <w:next w:val="1097"/>
    <w:uiPriority w:val="99"/>
    <w:qFormat/>
    <w:pPr>
      <w:ind w:left="600"/>
    </w:pPr>
    <w:rPr>
      <w:szCs w:val="24"/>
    </w:rPr>
  </w:style>
  <w:style w:type="paragraph" w:styleId="1119">
    <w:name w:val="toc 5"/>
    <w:basedOn w:val="1097"/>
    <w:next w:val="1097"/>
    <w:uiPriority w:val="39"/>
    <w:unhideWhenUsed/>
    <w:qFormat/>
    <w:pPr>
      <w:ind w:left="1134"/>
      <w:spacing w:after="57"/>
    </w:pPr>
  </w:style>
  <w:style w:type="paragraph" w:styleId="1120">
    <w:name w:val="toc 3"/>
    <w:basedOn w:val="1097"/>
    <w:next w:val="1097"/>
    <w:uiPriority w:val="39"/>
    <w:unhideWhenUsed/>
    <w:qFormat/>
    <w:pPr>
      <w:ind w:left="567"/>
      <w:spacing w:after="57"/>
    </w:pPr>
  </w:style>
  <w:style w:type="paragraph" w:styleId="1121">
    <w:name w:val="Plain Text"/>
    <w:basedOn w:val="1097"/>
    <w:uiPriority w:val="0"/>
    <w:qFormat/>
    <w:rPr>
      <w:rFonts w:ascii="宋体" w:hAnsi="Courier New" w:cs="Courier New"/>
      <w:szCs w:val="21"/>
    </w:rPr>
  </w:style>
  <w:style w:type="paragraph" w:styleId="1122">
    <w:name w:val="toc 8"/>
    <w:basedOn w:val="1097"/>
    <w:next w:val="1097"/>
    <w:uiPriority w:val="39"/>
    <w:unhideWhenUsed/>
    <w:qFormat/>
    <w:pPr>
      <w:ind w:left="1984"/>
      <w:spacing w:after="57"/>
    </w:pPr>
  </w:style>
  <w:style w:type="paragraph" w:styleId="1123">
    <w:name w:val="endnote text"/>
    <w:basedOn w:val="1097"/>
    <w:link w:val="1314"/>
    <w:uiPriority w:val="99"/>
    <w:semiHidden/>
    <w:unhideWhenUsed/>
    <w:qFormat/>
    <w:rPr>
      <w:sz w:val="20"/>
    </w:rPr>
  </w:style>
  <w:style w:type="paragraph" w:styleId="1124">
    <w:name w:val="Footer"/>
    <w:basedOn w:val="1097"/>
    <w:next w:val="1097"/>
    <w:link w:val="1207"/>
    <w:uiPriority w:val="99"/>
    <w:unhideWhenUsed/>
    <w:qFormat/>
    <w:pPr>
      <w:tabs>
        <w:tab w:val="center" w:pos="7143" w:leader="none"/>
        <w:tab w:val="right" w:pos="14287" w:leader="none"/>
      </w:tabs>
    </w:pPr>
  </w:style>
  <w:style w:type="paragraph" w:styleId="1125">
    <w:name w:val="envelope return"/>
    <w:basedOn w:val="1097"/>
    <w:uiPriority w:val="0"/>
    <w:qFormat/>
    <w:rPr>
      <w:rFonts w:ascii="Arial" w:hAnsi="Arial"/>
    </w:rPr>
  </w:style>
  <w:style w:type="paragraph" w:styleId="1126">
    <w:name w:val="Header"/>
    <w:basedOn w:val="1097"/>
    <w:uiPriority w:val="99"/>
    <w:unhideWhenUsed/>
    <w:qFormat/>
    <w:pPr>
      <w:tabs>
        <w:tab w:val="center" w:pos="7143" w:leader="none"/>
        <w:tab w:val="right" w:pos="14287" w:leader="none"/>
      </w:tabs>
    </w:pPr>
  </w:style>
  <w:style w:type="paragraph" w:styleId="1127">
    <w:name w:val="toc 1"/>
    <w:basedOn w:val="1097"/>
    <w:next w:val="1097"/>
    <w:uiPriority w:val="39"/>
    <w:unhideWhenUsed/>
    <w:qFormat/>
    <w:pPr>
      <w:spacing w:after="57"/>
    </w:pPr>
  </w:style>
  <w:style w:type="paragraph" w:styleId="1128">
    <w:name w:val="toc 4"/>
    <w:basedOn w:val="1097"/>
    <w:next w:val="1097"/>
    <w:uiPriority w:val="39"/>
    <w:unhideWhenUsed/>
    <w:qFormat/>
    <w:pPr>
      <w:ind w:left="850"/>
      <w:spacing w:after="57"/>
    </w:pPr>
  </w:style>
  <w:style w:type="paragraph" w:styleId="1129">
    <w:name w:val="Subtitle"/>
    <w:basedOn w:val="1097"/>
    <w:next w:val="1097"/>
    <w:link w:val="1202"/>
    <w:uiPriority w:val="11"/>
    <w:qFormat/>
    <w:pPr>
      <w:spacing w:before="200" w:after="200"/>
    </w:pPr>
    <w:rPr>
      <w:sz w:val="24"/>
      <w:szCs w:val="24"/>
    </w:rPr>
  </w:style>
  <w:style w:type="paragraph" w:styleId="1130">
    <w:name w:val="List"/>
    <w:basedOn w:val="1097"/>
    <w:uiPriority w:val="0"/>
    <w:qFormat/>
    <w:pPr>
      <w:ind w:left="420" w:hanging="420"/>
      <w:spacing w:after="20" w:line="288" w:lineRule="auto"/>
      <w:tabs>
        <w:tab w:val="left" w:pos="420" w:leader="none"/>
      </w:tabs>
    </w:pPr>
    <w:rPr>
      <w:szCs w:val="20"/>
      <w:lang w:val="en-GB"/>
    </w:rPr>
  </w:style>
  <w:style w:type="paragraph" w:styleId="1131">
    <w:name w:val="footnote text"/>
    <w:basedOn w:val="1097"/>
    <w:uiPriority w:val="99"/>
    <w:semiHidden/>
    <w:unhideWhenUsed/>
    <w:qFormat/>
    <w:pPr>
      <w:spacing w:after="40"/>
    </w:pPr>
    <w:rPr>
      <w:sz w:val="18"/>
    </w:rPr>
  </w:style>
  <w:style w:type="paragraph" w:styleId="1132">
    <w:name w:val="toc 6"/>
    <w:basedOn w:val="1097"/>
    <w:next w:val="1097"/>
    <w:uiPriority w:val="39"/>
    <w:unhideWhenUsed/>
    <w:qFormat/>
    <w:pPr>
      <w:ind w:left="1417"/>
      <w:spacing w:after="57"/>
    </w:pPr>
  </w:style>
  <w:style w:type="paragraph" w:styleId="1133">
    <w:name w:val="table of figures"/>
    <w:basedOn w:val="1097"/>
    <w:next w:val="1097"/>
    <w:uiPriority w:val="99"/>
    <w:unhideWhenUsed/>
    <w:qFormat/>
  </w:style>
  <w:style w:type="paragraph" w:styleId="1134">
    <w:name w:val="toc 2"/>
    <w:basedOn w:val="1097"/>
    <w:next w:val="1097"/>
    <w:uiPriority w:val="39"/>
    <w:unhideWhenUsed/>
    <w:qFormat/>
    <w:pPr>
      <w:ind w:left="283"/>
      <w:spacing w:after="57"/>
    </w:pPr>
  </w:style>
  <w:style w:type="paragraph" w:styleId="1135">
    <w:name w:val="toc 9"/>
    <w:basedOn w:val="1097"/>
    <w:next w:val="1097"/>
    <w:uiPriority w:val="39"/>
    <w:unhideWhenUsed/>
    <w:qFormat/>
    <w:pPr>
      <w:ind w:left="2268"/>
      <w:spacing w:after="57"/>
    </w:pPr>
  </w:style>
  <w:style w:type="paragraph" w:styleId="1136">
    <w:name w:val="Title"/>
    <w:basedOn w:val="1097"/>
    <w:next w:val="1097"/>
    <w:uiPriority w:val="10"/>
    <w:qFormat/>
    <w:pPr>
      <w:contextualSpacing/>
      <w:spacing w:before="300" w:after="200"/>
    </w:pPr>
    <w:rPr>
      <w:sz w:val="48"/>
      <w:szCs w:val="48"/>
    </w:rPr>
  </w:style>
  <w:style w:type="paragraph" w:styleId="1137">
    <w:name w:val="Body Text First Indent"/>
    <w:basedOn w:val="1114"/>
    <w:uiPriority w:val="0"/>
    <w:unhideWhenUsed/>
    <w:qFormat/>
    <w:pPr>
      <w:ind w:firstLine="420"/>
      <w:spacing w:after="120"/>
    </w:pPr>
    <w:rPr>
      <w:rFonts w:ascii="等线" w:hAnsi="等线" w:eastAsia="等线"/>
      <w:sz w:val="21"/>
    </w:rPr>
  </w:style>
  <w:style w:type="paragraph" w:styleId="1138">
    <w:name w:val="Body Text First Indent 2"/>
    <w:basedOn w:val="1117"/>
    <w:uiPriority w:val="0"/>
    <w:qFormat/>
    <w:pPr>
      <w:ind w:left="420" w:firstLine="420"/>
      <w:spacing w:after="120" w:line="240" w:lineRule="auto"/>
      <w:widowControl w:val="off"/>
    </w:pPr>
    <w:rPr>
      <w:rFonts w:ascii="Times New Roman" w:hAnsi="Times New Roman"/>
      <w:spacing w:val="0"/>
      <w:sz w:val="20"/>
    </w:rPr>
  </w:style>
  <w:style w:type="table" w:styleId="11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0">
    <w:name w:val="endnote reference"/>
    <w:uiPriority w:val="99"/>
    <w:semiHidden/>
    <w:unhideWhenUsed/>
    <w:qFormat/>
    <w:rPr>
      <w:vertAlign w:val="superscript"/>
    </w:rPr>
  </w:style>
  <w:style w:type="character" w:styleId="1141">
    <w:name w:val="Hyperlink"/>
    <w:uiPriority w:val="99"/>
    <w:unhideWhenUsed/>
    <w:qFormat/>
    <w:rPr>
      <w:color w:val="0000ff" w:themeColor="hyperlink"/>
      <w:u w:val="single"/>
      <w14:textFill>
        <w14:solidFill>
          <w14:schemeClr w14:val="hlink"/>
        </w14:solidFill>
      </w14:textFill>
    </w:rPr>
  </w:style>
  <w:style w:type="character" w:styleId="1142">
    <w:name w:val="annotation reference"/>
    <w:basedOn w:val="1107"/>
    <w:uiPriority w:val="99"/>
    <w:semiHidden/>
    <w:unhideWhenUsed/>
    <w:qFormat/>
    <w:rPr>
      <w:sz w:val="21"/>
      <w:szCs w:val="21"/>
    </w:rPr>
  </w:style>
  <w:style w:type="character" w:styleId="1143">
    <w:name w:val="footnote reference"/>
    <w:uiPriority w:val="99"/>
    <w:unhideWhenUsed/>
    <w:qFormat/>
    <w:rPr>
      <w:vertAlign w:val="superscript"/>
    </w:rPr>
  </w:style>
  <w:style w:type="paragraph" w:styleId="1144" w:customStyle="1">
    <w:name w:val="列出段落1"/>
    <w:basedOn w:val="1097"/>
    <w:uiPriority w:val="0"/>
    <w:qFormat/>
    <w:pPr>
      <w:ind w:firstLine="420"/>
    </w:pPr>
    <w:rPr>
      <w:rFonts w:ascii="Calibri" w:hAnsi="Calibri" w:eastAsia="宋体"/>
    </w:rPr>
  </w:style>
  <w:style w:type="table" w:styleId="1145" w:customStyle="1">
    <w:name w:val="Plain Table 1"/>
    <w:basedOn w:val="11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6" w:customStyle="1">
    <w:name w:val="Plain Table 2"/>
    <w:basedOn w:val="11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7" w:customStyle="1">
    <w:name w:val="Plain Table 3"/>
    <w:basedOn w:val="11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8" w:customStyle="1">
    <w:name w:val="Plain Table 4"/>
    <w:basedOn w:val="11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9" w:customStyle="1">
    <w:name w:val="Plain Table 5"/>
    <w:basedOn w:val="11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0" w:customStyle="1">
    <w:name w:val="Grid Table 1 Light"/>
    <w:basedOn w:val="11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1" w:customStyle="1">
    <w:name w:val="Grid Table 2"/>
    <w:basedOn w:val="11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2" w:customStyle="1">
    <w:name w:val="Grid Table 3"/>
    <w:basedOn w:val="11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4"/>
    <w:basedOn w:val="11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4" w:customStyle="1">
    <w:name w:val="Grid Table 5 Dark"/>
    <w:basedOn w:val="11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5" w:customStyle="1">
    <w:name w:val="Grid Table 6 Colorful"/>
    <w:basedOn w:val="11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6" w:customStyle="1">
    <w:name w:val="Grid Table 7 Colorful"/>
    <w:basedOn w:val="11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7" w:customStyle="1">
    <w:name w:val="List Table 1 Light"/>
    <w:basedOn w:val="11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8" w:customStyle="1">
    <w:name w:val="List Table 2"/>
    <w:basedOn w:val="11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9" w:customStyle="1">
    <w:name w:val="List Table 3"/>
    <w:basedOn w:val="11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0" w:customStyle="1">
    <w:name w:val="List Table 4"/>
    <w:basedOn w:val="11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1" w:customStyle="1">
    <w:name w:val="List Table 5 Dark"/>
    <w:basedOn w:val="11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6 Colorful"/>
    <w:basedOn w:val="11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3" w:customStyle="1">
    <w:name w:val="List Table 7 Colorful"/>
    <w:basedOn w:val="11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64" w:customStyle="1">
    <w:name w:val="TOC Heading"/>
    <w:uiPriority w:val="39"/>
    <w:unhideWhenUsed/>
    <w:qFormat/>
    <w:rPr>
      <w:rFonts w:hint="default" w:ascii="Times New Roman" w:hAnsi="Times New Roman" w:eastAsia="宋体" w:cs="Times New Roman"/>
    </w:rPr>
  </w:style>
  <w:style w:type="paragraph" w:styleId="1165" w:customStyle="1">
    <w:name w:val="TOC Heading1"/>
    <w:next w:val="1097"/>
    <w:uiPriority w:val="0"/>
    <w:qFormat/>
    <w:rPr>
      <w:rFonts w:hint="default" w:ascii="Times New Roman" w:hAnsi="Times New Roman" w:eastAsia="宋体" w:cs="Times New Roman"/>
      <w:sz w:val="32"/>
      <w:lang w:val="en-US" w:eastAsia="zh-CN" w:bidi="ar-SA"/>
    </w:rPr>
  </w:style>
  <w:style w:type="paragraph" w:styleId="116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67" w:customStyle="1">
    <w:name w:val="Heading 6 Char"/>
    <w:basedOn w:val="1107"/>
    <w:uiPriority w:val="9"/>
    <w:qFormat/>
    <w:rPr>
      <w:rFonts w:ascii="Arial" w:hAnsi="Arial" w:eastAsia="Arial" w:cs="Arial"/>
      <w:b/>
      <w:bCs/>
      <w:sz w:val="22"/>
      <w:szCs w:val="22"/>
    </w:rPr>
  </w:style>
  <w:style w:type="character" w:styleId="1168" w:customStyle="1">
    <w:name w:val="Heading 7 Char"/>
    <w:basedOn w:val="1107"/>
    <w:uiPriority w:val="9"/>
    <w:qFormat/>
    <w:rPr>
      <w:rFonts w:ascii="Arial" w:hAnsi="Arial" w:eastAsia="Arial" w:cs="Arial"/>
      <w:b/>
      <w:bCs/>
      <w:i/>
      <w:iCs/>
      <w:sz w:val="22"/>
      <w:szCs w:val="22"/>
    </w:rPr>
  </w:style>
  <w:style w:type="character" w:styleId="1169" w:customStyle="1">
    <w:name w:val="Heading 8 Char"/>
    <w:basedOn w:val="1107"/>
    <w:uiPriority w:val="9"/>
    <w:qFormat/>
    <w:rPr>
      <w:rFonts w:ascii="Arial" w:hAnsi="Arial" w:eastAsia="Arial" w:cs="Arial"/>
      <w:i/>
      <w:iCs/>
      <w:sz w:val="22"/>
      <w:szCs w:val="22"/>
    </w:rPr>
  </w:style>
  <w:style w:type="character" w:styleId="1170" w:customStyle="1">
    <w:name w:val="Heading 9 Char"/>
    <w:basedOn w:val="1107"/>
    <w:uiPriority w:val="9"/>
    <w:qFormat/>
    <w:rPr>
      <w:rFonts w:ascii="Arial" w:hAnsi="Arial" w:eastAsia="Arial" w:cs="Arial"/>
      <w:i/>
      <w:iCs/>
      <w:sz w:val="21"/>
      <w:szCs w:val="21"/>
    </w:rPr>
  </w:style>
  <w:style w:type="character" w:styleId="1171" w:customStyle="1">
    <w:name w:val="Subtitle Char"/>
    <w:basedOn w:val="1107"/>
    <w:uiPriority w:val="11"/>
    <w:qFormat/>
    <w:rPr>
      <w:sz w:val="24"/>
      <w:szCs w:val="24"/>
    </w:rPr>
  </w:style>
  <w:style w:type="character" w:styleId="1172" w:customStyle="1">
    <w:name w:val="Quote Char"/>
    <w:uiPriority w:val="29"/>
    <w:qFormat/>
    <w:rPr>
      <w:i/>
    </w:rPr>
  </w:style>
  <w:style w:type="character" w:styleId="1173" w:customStyle="1">
    <w:name w:val="Intense Quote Char"/>
    <w:uiPriority w:val="30"/>
    <w:qFormat/>
    <w:rPr>
      <w:i/>
    </w:rPr>
  </w:style>
  <w:style w:type="character" w:styleId="1174" w:customStyle="1">
    <w:name w:val="Caption Char"/>
    <w:uiPriority w:val="99"/>
    <w:qFormat/>
  </w:style>
  <w:style w:type="table" w:styleId="1175" w:customStyle="1">
    <w:name w:val="无格式表格 11"/>
    <w:basedOn w:val="11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6" w:customStyle="1">
    <w:name w:val="无格式表格 21"/>
    <w:basedOn w:val="11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7" w:customStyle="1">
    <w:name w:val="无格式表格 31"/>
    <w:basedOn w:val="11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8" w:customStyle="1">
    <w:name w:val="无格式表格 41"/>
    <w:basedOn w:val="11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9" w:customStyle="1">
    <w:name w:val="无格式表格 51"/>
    <w:basedOn w:val="11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0" w:customStyle="1">
    <w:name w:val="网格表 1 浅色1"/>
    <w:basedOn w:val="11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1" w:customStyle="1">
    <w:name w:val="网格表 21"/>
    <w:basedOn w:val="11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2" w:customStyle="1">
    <w:name w:val="网格表 31"/>
    <w:basedOn w:val="11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3" w:customStyle="1">
    <w:name w:val="网格表 41"/>
    <w:basedOn w:val="11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4" w:customStyle="1">
    <w:name w:val="网格表 5 深色1"/>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5" w:customStyle="1">
    <w:name w:val="网格表 6 彩色1"/>
    <w:basedOn w:val="11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6" w:customStyle="1">
    <w:name w:val="网格表 7 彩色1"/>
    <w:basedOn w:val="11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7" w:customStyle="1">
    <w:name w:val="清单表 1 浅色1"/>
    <w:basedOn w:val="110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8" w:customStyle="1">
    <w:name w:val="清单表 21"/>
    <w:basedOn w:val="11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9" w:customStyle="1">
    <w:name w:val="清单表 31"/>
    <w:basedOn w:val="11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0" w:customStyle="1">
    <w:name w:val="清单表 41"/>
    <w:basedOn w:val="11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1" w:customStyle="1">
    <w:name w:val="清单表 5 深色1"/>
    <w:basedOn w:val="11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清单表 6 彩色1"/>
    <w:basedOn w:val="110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3" w:customStyle="1">
    <w:name w:val="清单表 7 彩色1"/>
    <w:basedOn w:val="110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94" w:customStyle="1">
    <w:name w:val="Endnote Text Char"/>
    <w:uiPriority w:val="99"/>
    <w:qFormat/>
    <w:rPr>
      <w:sz w:val="20"/>
    </w:rPr>
  </w:style>
  <w:style w:type="paragraph" w:styleId="1195" w:customStyle="1">
    <w:name w:val="TOC 标题1"/>
    <w:uiPriority w:val="39"/>
    <w:unhideWhenUsed/>
    <w:qFormat/>
    <w:rPr>
      <w:rFonts w:hint="default" w:ascii="等线" w:hAnsi="等线" w:eastAsia="等线" w:cs="Times New Roman"/>
      <w:lang w:val="en-US" w:eastAsia="zh-CN" w:bidi="ar-SA"/>
    </w:rPr>
  </w:style>
  <w:style w:type="paragraph" w:styleId="1196" w:customStyle="1">
    <w:name w:val="标题 31"/>
    <w:basedOn w:val="1097"/>
    <w:next w:val="1097"/>
    <w:link w:val="132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97" w:customStyle="1">
    <w:name w:val="标题 6 字符2"/>
    <w:link w:val="1103"/>
    <w:uiPriority w:val="9"/>
    <w:qFormat/>
    <w:rPr>
      <w:rFonts w:ascii="Arial" w:hAnsi="Arial" w:eastAsia="Arial" w:cs="Arial"/>
      <w:b/>
      <w:bCs/>
      <w:sz w:val="22"/>
      <w:szCs w:val="22"/>
    </w:rPr>
  </w:style>
  <w:style w:type="character" w:styleId="1198" w:customStyle="1">
    <w:name w:val="标题 7 字符2"/>
    <w:link w:val="1104"/>
    <w:uiPriority w:val="9"/>
    <w:qFormat/>
    <w:rPr>
      <w:rFonts w:ascii="Arial" w:hAnsi="Arial" w:eastAsia="Arial" w:cs="Arial"/>
      <w:b/>
      <w:bCs/>
      <w:i/>
      <w:iCs/>
      <w:sz w:val="22"/>
      <w:szCs w:val="22"/>
    </w:rPr>
  </w:style>
  <w:style w:type="character" w:styleId="1199" w:customStyle="1">
    <w:name w:val="标题 8 字符2"/>
    <w:link w:val="1105"/>
    <w:uiPriority w:val="9"/>
    <w:qFormat/>
    <w:rPr>
      <w:rFonts w:ascii="Arial" w:hAnsi="Arial" w:eastAsia="Arial" w:cs="Arial"/>
      <w:i/>
      <w:iCs/>
      <w:sz w:val="22"/>
      <w:szCs w:val="22"/>
    </w:rPr>
  </w:style>
  <w:style w:type="character" w:styleId="1200" w:customStyle="1">
    <w:name w:val="标题 9 字符2"/>
    <w:link w:val="1106"/>
    <w:uiPriority w:val="9"/>
    <w:qFormat/>
    <w:rPr>
      <w:rFonts w:ascii="Arial" w:hAnsi="Arial" w:eastAsia="Arial" w:cs="Arial"/>
      <w:i/>
      <w:iCs/>
      <w:sz w:val="21"/>
      <w:szCs w:val="21"/>
    </w:rPr>
  </w:style>
  <w:style w:type="paragraph" w:styleId="1201">
    <w:name w:val="No Spacing"/>
    <w:uiPriority w:val="1"/>
    <w:qFormat/>
    <w:rPr>
      <w:rFonts w:hint="default" w:ascii="等线" w:hAnsi="等线" w:eastAsia="等线" w:cs="Times New Roman"/>
      <w:lang w:val="en-US" w:eastAsia="zh-CN" w:bidi="ar-SA"/>
    </w:rPr>
  </w:style>
  <w:style w:type="character" w:styleId="1202" w:customStyle="1">
    <w:name w:val="副标题 字符2"/>
    <w:link w:val="1129"/>
    <w:uiPriority w:val="11"/>
    <w:qFormat/>
    <w:rPr>
      <w:sz w:val="24"/>
      <w:szCs w:val="24"/>
    </w:rPr>
  </w:style>
  <w:style w:type="paragraph" w:styleId="1203">
    <w:name w:val="Quote"/>
    <w:basedOn w:val="1097"/>
    <w:next w:val="1097"/>
    <w:link w:val="1204"/>
    <w:uiPriority w:val="29"/>
    <w:qFormat/>
    <w:pPr>
      <w:ind w:left="720" w:right="720"/>
    </w:pPr>
    <w:rPr>
      <w:i/>
    </w:rPr>
  </w:style>
  <w:style w:type="character" w:styleId="1204" w:customStyle="1">
    <w:name w:val="引用 字符2"/>
    <w:link w:val="1203"/>
    <w:uiPriority w:val="29"/>
    <w:qFormat/>
    <w:rPr>
      <w:i/>
    </w:rPr>
  </w:style>
  <w:style w:type="paragraph" w:styleId="1205">
    <w:name w:val="Intense Quote"/>
    <w:basedOn w:val="1097"/>
    <w:next w:val="1097"/>
    <w:link w:val="12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6" w:customStyle="1">
    <w:name w:val="明显引用 字符2"/>
    <w:link w:val="1205"/>
    <w:uiPriority w:val="30"/>
    <w:qFormat/>
    <w:rPr>
      <w:i/>
    </w:rPr>
  </w:style>
  <w:style w:type="character" w:styleId="1207" w:customStyle="1">
    <w:name w:val="页脚 字符3"/>
    <w:link w:val="1124"/>
    <w:uiPriority w:val="99"/>
    <w:qFormat/>
  </w:style>
  <w:style w:type="table" w:styleId="12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14" w:customStyle="1">
    <w:name w:val="尾注文本 字符"/>
    <w:link w:val="1123"/>
    <w:uiPriority w:val="99"/>
    <w:qFormat/>
    <w:rPr>
      <w:sz w:val="20"/>
    </w:rPr>
  </w:style>
  <w:style w:type="paragraph" w:styleId="1315" w:customStyle="1">
    <w:name w:val="TOC 标题111"/>
    <w:uiPriority w:val="39"/>
    <w:unhideWhenUsed/>
    <w:qFormat/>
    <w:rPr>
      <w:rFonts w:hint="default" w:ascii="等线" w:hAnsi="等线" w:eastAsia="等线" w:cs="Times New Roman"/>
      <w:lang w:val="en-US" w:eastAsia="zh-CN" w:bidi="ar-SA"/>
    </w:rPr>
  </w:style>
  <w:style w:type="paragraph" w:styleId="1316" w:customStyle="1">
    <w:name w:val="标题 11"/>
    <w:basedOn w:val="1097"/>
    <w:next w:val="1097"/>
    <w:link w:val="132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317" w:customStyle="1">
    <w:name w:val="标题 21"/>
    <w:basedOn w:val="1097"/>
    <w:next w:val="1097"/>
    <w:link w:val="1329"/>
    <w:uiPriority w:val="9"/>
    <w:qFormat/>
    <w:pPr>
      <w:keepLines/>
      <w:keepNext/>
      <w:spacing w:before="260" w:after="260" w:line="413" w:lineRule="auto"/>
      <w:outlineLvl w:val="1"/>
    </w:pPr>
    <w:rPr>
      <w:rFonts w:ascii="Arial" w:hAnsi="Arial" w:eastAsia="黑体"/>
      <w:b/>
      <w:bCs/>
      <w:sz w:val="32"/>
      <w:szCs w:val="32"/>
    </w:rPr>
  </w:style>
  <w:style w:type="paragraph" w:styleId="1318" w:customStyle="1">
    <w:name w:val="标题 41"/>
    <w:basedOn w:val="1097"/>
    <w:next w:val="1319"/>
    <w:link w:val="133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319" w:customStyle="1">
    <w:name w:val="正文缩进1"/>
    <w:basedOn w:val="1097"/>
    <w:next w:val="1097"/>
    <w:link w:val="1336"/>
    <w:uiPriority w:val="0"/>
    <w:qFormat/>
    <w:pPr>
      <w:ind w:firstLine="420"/>
    </w:pPr>
    <w:rPr>
      <w:rFonts w:ascii="Times New Roman" w:hAnsi="Times New Roman" w:eastAsia="宋体"/>
      <w:szCs w:val="20"/>
    </w:rPr>
  </w:style>
  <w:style w:type="paragraph" w:styleId="1320" w:customStyle="1">
    <w:name w:val="标题 51"/>
    <w:basedOn w:val="1097"/>
    <w:next w:val="1097"/>
    <w:link w:val="1331"/>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321" w:customStyle="1">
    <w:name w:val="标题 61"/>
    <w:basedOn w:val="1097"/>
    <w:next w:val="1097"/>
    <w:link w:val="133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322" w:customStyle="1">
    <w:name w:val="标题 71"/>
    <w:basedOn w:val="1097"/>
    <w:next w:val="1097"/>
    <w:link w:val="133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323" w:customStyle="1">
    <w:name w:val="标题 81"/>
    <w:basedOn w:val="1097"/>
    <w:next w:val="1097"/>
    <w:link w:val="133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324" w:customStyle="1">
    <w:name w:val="标题 91"/>
    <w:basedOn w:val="1097"/>
    <w:next w:val="1097"/>
    <w:link w:val="133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325" w:customStyle="1">
    <w:name w:val="默认段落字体1"/>
    <w:uiPriority w:val="1"/>
    <w:unhideWhenUsed/>
    <w:qFormat/>
  </w:style>
  <w:style w:type="table" w:styleId="1326" w:customStyle="1">
    <w:name w:val="普通表格1"/>
    <w:uiPriority w:val="99"/>
    <w:unhideWhenUsed/>
    <w:qFormat/>
    <w:tblPr>
      <w:tblCellMar>
        <w:left w:w="0" w:type="dxa"/>
        <w:top w:w="0" w:type="dxa"/>
        <w:right w:w="0" w:type="dxa"/>
        <w:bottom w:w="0" w:type="dxa"/>
      </w:tblCellMar>
    </w:tblPr>
  </w:style>
  <w:style w:type="character" w:styleId="1327" w:customStyle="1">
    <w:name w:val="标题 3 字符1"/>
    <w:link w:val="1196"/>
    <w:uiPriority w:val="0"/>
    <w:qFormat/>
    <w:rPr>
      <w:rFonts w:ascii="Times New Roman" w:hAnsi="Times New Roman" w:eastAsia="宋体" w:cs="Times New Roman"/>
      <w:b/>
      <w:sz w:val="32"/>
      <w:szCs w:val="20"/>
    </w:rPr>
  </w:style>
  <w:style w:type="character" w:styleId="1328" w:customStyle="1">
    <w:name w:val="标题 1 字符1"/>
    <w:link w:val="1316"/>
    <w:uiPriority w:val="9"/>
    <w:qFormat/>
    <w:rPr>
      <w:rFonts w:ascii="黑体" w:hAnsi="Times New Roman" w:eastAsia="黑体" w:cs="Times New Roman"/>
      <w:sz w:val="52"/>
      <w:szCs w:val="20"/>
    </w:rPr>
  </w:style>
  <w:style w:type="character" w:styleId="1329" w:customStyle="1">
    <w:name w:val="标题 2 字符1"/>
    <w:link w:val="1317"/>
    <w:uiPriority w:val="9"/>
    <w:qFormat/>
    <w:rPr>
      <w:rFonts w:ascii="Arial" w:hAnsi="Arial" w:eastAsia="黑体" w:cs="Times New Roman"/>
      <w:b/>
      <w:bCs/>
      <w:sz w:val="32"/>
      <w:szCs w:val="32"/>
    </w:rPr>
  </w:style>
  <w:style w:type="character" w:styleId="1330" w:customStyle="1">
    <w:name w:val="标题 4 字符1"/>
    <w:link w:val="1318"/>
    <w:uiPriority w:val="0"/>
    <w:qFormat/>
    <w:rPr>
      <w:rFonts w:ascii="Arial" w:hAnsi="Arial" w:eastAsia="黑体" w:cs="Times New Roman"/>
      <w:sz w:val="28"/>
      <w:szCs w:val="20"/>
    </w:rPr>
  </w:style>
  <w:style w:type="character" w:styleId="1331" w:customStyle="1">
    <w:name w:val="标题 5 字符1"/>
    <w:link w:val="1320"/>
    <w:uiPriority w:val="9"/>
    <w:qFormat/>
    <w:rPr>
      <w:rFonts w:ascii="宋体" w:hAnsi="宋体" w:eastAsia="宋体" w:cs="Times New Roman"/>
      <w:b/>
      <w:sz w:val="24"/>
      <w:szCs w:val="20"/>
    </w:rPr>
  </w:style>
  <w:style w:type="character" w:styleId="1332" w:customStyle="1">
    <w:name w:val="标题 6 字符1"/>
    <w:link w:val="1321"/>
    <w:uiPriority w:val="9"/>
    <w:qFormat/>
    <w:rPr>
      <w:rFonts w:ascii="Arial" w:hAnsi="Arial" w:eastAsia="黑体" w:cs="Times New Roman"/>
      <w:b/>
      <w:bCs/>
      <w:sz w:val="24"/>
      <w:szCs w:val="24"/>
    </w:rPr>
  </w:style>
  <w:style w:type="character" w:styleId="1333" w:customStyle="1">
    <w:name w:val="标题 7 字符1"/>
    <w:link w:val="1322"/>
    <w:uiPriority w:val="9"/>
    <w:qFormat/>
    <w:rPr>
      <w:rFonts w:ascii="Times New Roman" w:hAnsi="Times New Roman" w:eastAsia="宋体" w:cs="Times New Roman"/>
      <w:b/>
      <w:bCs/>
      <w:sz w:val="24"/>
      <w:szCs w:val="24"/>
    </w:rPr>
  </w:style>
  <w:style w:type="character" w:styleId="1334" w:customStyle="1">
    <w:name w:val="标题 8 字符1"/>
    <w:link w:val="1323"/>
    <w:uiPriority w:val="9"/>
    <w:qFormat/>
    <w:rPr>
      <w:rFonts w:ascii="Arial" w:hAnsi="Arial" w:eastAsia="黑体" w:cs="Times New Roman"/>
      <w:sz w:val="24"/>
      <w:szCs w:val="24"/>
    </w:rPr>
  </w:style>
  <w:style w:type="character" w:styleId="1335" w:customStyle="1">
    <w:name w:val="标题 9 字符1"/>
    <w:link w:val="1324"/>
    <w:uiPriority w:val="0"/>
    <w:qFormat/>
    <w:rPr>
      <w:rFonts w:ascii="Arial" w:hAnsi="Arial" w:eastAsia="黑体" w:cs="Times New Roman"/>
      <w:szCs w:val="21"/>
    </w:rPr>
  </w:style>
  <w:style w:type="character" w:styleId="1336" w:customStyle="1">
    <w:name w:val="正文缩进 字符1"/>
    <w:link w:val="1319"/>
    <w:uiPriority w:val="0"/>
    <w:qFormat/>
    <w:rPr>
      <w:rFonts w:ascii="Times New Roman" w:hAnsi="Times New Roman" w:eastAsia="宋体" w:cs="Times New Roman"/>
      <w:szCs w:val="20"/>
    </w:rPr>
  </w:style>
  <w:style w:type="paragraph" w:styleId="1337" w:customStyle="1">
    <w:name w:val="题注1"/>
    <w:basedOn w:val="1097"/>
    <w:next w:val="1097"/>
    <w:uiPriority w:val="99"/>
    <w:qFormat/>
    <w:rPr>
      <w:rFonts w:ascii="Cambria" w:hAnsi="Cambria" w:eastAsia="黑体"/>
      <w:sz w:val="20"/>
      <w:szCs w:val="20"/>
    </w:rPr>
  </w:style>
  <w:style w:type="paragraph" w:styleId="1338" w:customStyle="1">
    <w:name w:val="文档结构图1"/>
    <w:basedOn w:val="1097"/>
    <w:link w:val="1339"/>
    <w:uiPriority w:val="99"/>
    <w:qFormat/>
    <w:pPr>
      <w:shd w:val="clear" w:color="auto" w:fill="000080"/>
    </w:pPr>
    <w:rPr>
      <w:rFonts w:ascii="Times New Roman" w:hAnsi="Times New Roman" w:eastAsia="宋体"/>
      <w:szCs w:val="20"/>
    </w:rPr>
  </w:style>
  <w:style w:type="character" w:styleId="1339" w:customStyle="1">
    <w:name w:val="文档结构图 字符2"/>
    <w:link w:val="1338"/>
    <w:uiPriority w:val="99"/>
    <w:qFormat/>
    <w:rPr>
      <w:rFonts w:ascii="Times New Roman" w:hAnsi="Times New Roman" w:eastAsia="宋体" w:cs="Times New Roman"/>
      <w:szCs w:val="20"/>
      <w:shd w:val="clear" w:color="auto" w:fill="000080"/>
    </w:rPr>
  </w:style>
  <w:style w:type="paragraph" w:styleId="1340" w:customStyle="1">
    <w:name w:val="批注文字1"/>
    <w:basedOn w:val="1097"/>
    <w:link w:val="1341"/>
    <w:uiPriority w:val="99"/>
    <w:qFormat/>
    <w:pPr>
      <w:jc w:val="left"/>
      <w:spacing w:line="360" w:lineRule="atLeast"/>
    </w:pPr>
    <w:rPr>
      <w:rFonts w:ascii="Times New Roman" w:hAnsi="Times New Roman" w:eastAsia="宋体"/>
      <w:sz w:val="24"/>
      <w:szCs w:val="20"/>
    </w:rPr>
  </w:style>
  <w:style w:type="character" w:styleId="1341" w:customStyle="1">
    <w:name w:val="批注文字 字符2"/>
    <w:link w:val="1340"/>
    <w:uiPriority w:val="99"/>
    <w:qFormat/>
    <w:rPr>
      <w:rFonts w:ascii="Times New Roman" w:hAnsi="Times New Roman" w:eastAsia="宋体" w:cs="Times New Roman"/>
      <w:sz w:val="24"/>
      <w:szCs w:val="20"/>
    </w:rPr>
  </w:style>
  <w:style w:type="paragraph" w:styleId="1342" w:customStyle="1">
    <w:name w:val="正文文本 31"/>
    <w:basedOn w:val="1097"/>
    <w:link w:val="1343"/>
    <w:uiPriority w:val="0"/>
    <w:qFormat/>
    <w:rPr>
      <w:rFonts w:ascii="宋体" w:hAnsi="Times New Roman" w:eastAsia="宋体"/>
      <w:sz w:val="24"/>
      <w:szCs w:val="20"/>
    </w:rPr>
  </w:style>
  <w:style w:type="character" w:styleId="1343" w:customStyle="1">
    <w:name w:val="正文文本 3 字符"/>
    <w:link w:val="1342"/>
    <w:uiPriority w:val="0"/>
    <w:qFormat/>
    <w:rPr>
      <w:rFonts w:ascii="宋体" w:hAnsi="Times New Roman" w:eastAsia="宋体" w:cs="Times New Roman"/>
      <w:sz w:val="24"/>
      <w:szCs w:val="20"/>
    </w:rPr>
  </w:style>
  <w:style w:type="paragraph" w:styleId="1344" w:customStyle="1">
    <w:name w:val="正文文本1"/>
    <w:basedOn w:val="1097"/>
    <w:next w:val="1345"/>
    <w:link w:val="1346"/>
    <w:uiPriority w:val="0"/>
    <w:qFormat/>
    <w:rPr>
      <w:rFonts w:ascii="华文中宋" w:hAnsi="Times New Roman" w:eastAsia="华文中宋"/>
      <w:bCs/>
      <w:sz w:val="28"/>
      <w:szCs w:val="20"/>
    </w:rPr>
  </w:style>
  <w:style w:type="paragraph" w:styleId="1345" w:customStyle="1">
    <w:name w:val="正文首行缩进1"/>
    <w:basedOn w:val="1344"/>
    <w:link w:val="1392"/>
    <w:uiPriority w:val="99"/>
    <w:unhideWhenUsed/>
    <w:qFormat/>
    <w:pPr>
      <w:ind w:firstLine="420"/>
      <w:spacing w:after="120"/>
    </w:pPr>
    <w:rPr>
      <w:rFonts w:ascii="等线" w:hAnsi="等线" w:eastAsia="等线"/>
      <w:bCs w:val="0"/>
      <w:sz w:val="21"/>
      <w:szCs w:val="22"/>
    </w:rPr>
  </w:style>
  <w:style w:type="character" w:styleId="1346" w:customStyle="1">
    <w:name w:val="正文文本 字符2"/>
    <w:link w:val="1344"/>
    <w:uiPriority w:val="0"/>
    <w:qFormat/>
    <w:rPr>
      <w:rFonts w:ascii="华文中宋" w:hAnsi="Times New Roman" w:eastAsia="华文中宋" w:cs="Times New Roman"/>
      <w:bCs/>
      <w:sz w:val="28"/>
      <w:szCs w:val="20"/>
    </w:rPr>
  </w:style>
  <w:style w:type="character" w:styleId="1347" w:customStyle="1">
    <w:name w:val="正文首行缩进 字符"/>
    <w:uiPriority w:val="99"/>
    <w:semiHidden/>
    <w:qFormat/>
    <w:rPr>
      <w:rFonts w:ascii="华文中宋" w:hAnsi="Times New Roman" w:eastAsia="华文中宋" w:cs="Times New Roman"/>
      <w:sz w:val="28"/>
      <w:szCs w:val="20"/>
    </w:rPr>
  </w:style>
  <w:style w:type="paragraph" w:styleId="1348" w:customStyle="1">
    <w:name w:val="正文文本缩进1"/>
    <w:basedOn w:val="1097"/>
    <w:next w:val="1349"/>
    <w:link w:val="1350"/>
    <w:uiPriority w:val="0"/>
    <w:qFormat/>
    <w:pPr>
      <w:ind w:firstLine="540"/>
      <w:spacing w:line="360" w:lineRule="auto"/>
      <w:widowControl/>
    </w:pPr>
    <w:rPr>
      <w:rFonts w:ascii="宋体" w:hAnsi="MS Sans Serif" w:eastAsia="宋体"/>
      <w:spacing w:val="12"/>
      <w:sz w:val="24"/>
      <w:szCs w:val="20"/>
    </w:rPr>
  </w:style>
  <w:style w:type="paragraph" w:styleId="1349" w:customStyle="1">
    <w:name w:val="寄信人地址1"/>
    <w:basedOn w:val="1097"/>
    <w:uiPriority w:val="0"/>
    <w:qFormat/>
    <w:rPr>
      <w:rFonts w:ascii="Arial" w:hAnsi="Arial" w:eastAsia="宋体"/>
      <w:szCs w:val="20"/>
    </w:rPr>
  </w:style>
  <w:style w:type="character" w:styleId="1350" w:customStyle="1">
    <w:name w:val="正文文本缩进 字符2"/>
    <w:link w:val="1348"/>
    <w:uiPriority w:val="0"/>
    <w:qFormat/>
    <w:rPr>
      <w:rFonts w:ascii="宋体" w:hAnsi="MS Sans Serif" w:eastAsia="宋体" w:cs="Times New Roman"/>
      <w:spacing w:val="12"/>
      <w:sz w:val="24"/>
      <w:szCs w:val="20"/>
    </w:rPr>
  </w:style>
  <w:style w:type="paragraph" w:styleId="1351" w:customStyle="1">
    <w:name w:val="文本块1"/>
    <w:basedOn w:val="1097"/>
    <w:uiPriority w:val="99"/>
    <w:qFormat/>
    <w:pPr>
      <w:ind w:left="420" w:right="33"/>
      <w:jc w:val="left"/>
    </w:pPr>
    <w:rPr>
      <w:rFonts w:ascii="Times New Roman" w:hAnsi="Times New Roman" w:eastAsia="宋体"/>
      <w:sz w:val="24"/>
      <w:szCs w:val="20"/>
    </w:rPr>
  </w:style>
  <w:style w:type="paragraph" w:styleId="1352" w:customStyle="1">
    <w:name w:val="索引 41"/>
    <w:basedOn w:val="1097"/>
    <w:next w:val="1097"/>
    <w:uiPriority w:val="99"/>
    <w:qFormat/>
    <w:pPr>
      <w:ind w:left="600"/>
    </w:pPr>
    <w:rPr>
      <w:rFonts w:ascii="Times New Roman" w:hAnsi="Times New Roman" w:eastAsia="宋体"/>
      <w:szCs w:val="24"/>
    </w:rPr>
  </w:style>
  <w:style w:type="paragraph" w:styleId="1353" w:customStyle="1">
    <w:name w:val="纯文本1"/>
    <w:basedOn w:val="1097"/>
    <w:next w:val="1354"/>
    <w:link w:val="1355"/>
    <w:uiPriority w:val="0"/>
    <w:qFormat/>
    <w:rPr>
      <w:rFonts w:ascii="宋体" w:hAnsi="Courier New" w:eastAsia="宋体"/>
      <w:szCs w:val="20"/>
    </w:rPr>
  </w:style>
  <w:style w:type="paragraph" w:styleId="1354" w:customStyle="1">
    <w:name w:val="目录 21"/>
    <w:basedOn w:val="1097"/>
    <w:next w:val="1097"/>
    <w:uiPriority w:val="39"/>
    <w:unhideWhenUsed/>
    <w:qFormat/>
    <w:pPr>
      <w:ind w:left="420"/>
    </w:pPr>
  </w:style>
  <w:style w:type="character" w:styleId="1355" w:customStyle="1">
    <w:name w:val="纯文本 字符2"/>
    <w:link w:val="1353"/>
    <w:uiPriority w:val="0"/>
    <w:qFormat/>
    <w:rPr>
      <w:rFonts w:ascii="宋体" w:hAnsi="Courier New" w:eastAsia="宋体" w:cs="Times New Roman"/>
      <w:szCs w:val="20"/>
    </w:rPr>
  </w:style>
  <w:style w:type="paragraph" w:styleId="1356" w:customStyle="1">
    <w:name w:val="日期1"/>
    <w:basedOn w:val="1097"/>
    <w:next w:val="1097"/>
    <w:link w:val="1357"/>
    <w:uiPriority w:val="99"/>
    <w:qFormat/>
    <w:rPr>
      <w:rFonts w:ascii="Times New Roman" w:hAnsi="Times New Roman" w:eastAsia="宋体"/>
      <w:sz w:val="24"/>
      <w:szCs w:val="20"/>
    </w:rPr>
  </w:style>
  <w:style w:type="character" w:styleId="1357" w:customStyle="1">
    <w:name w:val="日期 字符2"/>
    <w:link w:val="1356"/>
    <w:uiPriority w:val="99"/>
    <w:qFormat/>
    <w:rPr>
      <w:rFonts w:ascii="Times New Roman" w:hAnsi="Times New Roman" w:eastAsia="宋体" w:cs="Times New Roman"/>
      <w:sz w:val="24"/>
      <w:szCs w:val="20"/>
    </w:rPr>
  </w:style>
  <w:style w:type="paragraph" w:styleId="1358" w:customStyle="1">
    <w:name w:val="正文文本缩进 21"/>
    <w:basedOn w:val="1097"/>
    <w:link w:val="1359"/>
    <w:uiPriority w:val="99"/>
    <w:qFormat/>
    <w:pPr>
      <w:ind w:left="420"/>
      <w:spacing w:after="120" w:line="480" w:lineRule="auto"/>
    </w:pPr>
    <w:rPr>
      <w:rFonts w:ascii="Times New Roman" w:hAnsi="Times New Roman" w:eastAsia="宋体"/>
      <w:szCs w:val="24"/>
    </w:rPr>
  </w:style>
  <w:style w:type="character" w:styleId="1359" w:customStyle="1">
    <w:name w:val="正文文本缩进 2 字符2"/>
    <w:link w:val="1358"/>
    <w:uiPriority w:val="99"/>
    <w:qFormat/>
    <w:rPr>
      <w:rFonts w:ascii="Times New Roman" w:hAnsi="Times New Roman" w:eastAsia="宋体" w:cs="Times New Roman"/>
      <w:szCs w:val="24"/>
    </w:rPr>
  </w:style>
  <w:style w:type="paragraph" w:styleId="1360" w:customStyle="1">
    <w:name w:val="批注框文本1"/>
    <w:basedOn w:val="1097"/>
    <w:link w:val="1361"/>
    <w:uiPriority w:val="99"/>
    <w:qFormat/>
    <w:rPr>
      <w:rFonts w:ascii="Times New Roman" w:hAnsi="Times New Roman" w:eastAsia="宋体"/>
      <w:sz w:val="18"/>
      <w:szCs w:val="18"/>
    </w:rPr>
  </w:style>
  <w:style w:type="character" w:styleId="1361" w:customStyle="1">
    <w:name w:val="批注框文本 字符2"/>
    <w:link w:val="1360"/>
    <w:uiPriority w:val="99"/>
    <w:qFormat/>
    <w:rPr>
      <w:rFonts w:ascii="Times New Roman" w:hAnsi="Times New Roman" w:eastAsia="宋体" w:cs="Times New Roman"/>
      <w:sz w:val="18"/>
      <w:szCs w:val="18"/>
    </w:rPr>
  </w:style>
  <w:style w:type="paragraph" w:styleId="1362" w:customStyle="1">
    <w:name w:val="页脚1"/>
    <w:basedOn w:val="1097"/>
    <w:next w:val="1165"/>
    <w:link w:val="1363"/>
    <w:uiPriority w:val="99"/>
    <w:unhideWhenUsed/>
    <w:qFormat/>
    <w:pPr>
      <w:jc w:val="left"/>
      <w:tabs>
        <w:tab w:val="center" w:pos="4153" w:leader="none"/>
        <w:tab w:val="right" w:pos="8306" w:leader="none"/>
      </w:tabs>
    </w:pPr>
    <w:rPr>
      <w:sz w:val="18"/>
      <w:szCs w:val="18"/>
    </w:rPr>
  </w:style>
  <w:style w:type="character" w:styleId="1363" w:customStyle="1">
    <w:name w:val="页脚 字符"/>
    <w:link w:val="1362"/>
    <w:uiPriority w:val="0"/>
    <w:qFormat/>
    <w:rPr>
      <w:sz w:val="18"/>
      <w:szCs w:val="18"/>
    </w:rPr>
  </w:style>
  <w:style w:type="paragraph" w:styleId="1364" w:customStyle="1">
    <w:name w:val="页眉1"/>
    <w:basedOn w:val="1097"/>
    <w:link w:val="13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65" w:customStyle="1">
    <w:name w:val="页眉 字符"/>
    <w:link w:val="1364"/>
    <w:uiPriority w:val="99"/>
    <w:qFormat/>
    <w:rPr>
      <w:sz w:val="18"/>
      <w:szCs w:val="18"/>
    </w:rPr>
  </w:style>
  <w:style w:type="paragraph" w:styleId="1366" w:customStyle="1">
    <w:name w:val="目录 11"/>
    <w:basedOn w:val="1097"/>
    <w:next w:val="1097"/>
    <w:uiPriority w:val="39"/>
    <w:qFormat/>
    <w:pPr>
      <w:jc w:val="center"/>
      <w:spacing w:before="120" w:after="120"/>
      <w:tabs>
        <w:tab w:val="right" w:pos="9170" w:leader="dot"/>
      </w:tabs>
    </w:pPr>
    <w:rPr>
      <w:rFonts w:eastAsia="文鼎小标宋简"/>
      <w:caps/>
      <w:sz w:val="32"/>
      <w:szCs w:val="32"/>
    </w:rPr>
  </w:style>
  <w:style w:type="paragraph" w:styleId="1367" w:customStyle="1">
    <w:name w:val="副标题1"/>
    <w:basedOn w:val="1097"/>
    <w:next w:val="1097"/>
    <w:link w:val="1368"/>
    <w:uiPriority w:val="0"/>
    <w:qFormat/>
    <w:pPr>
      <w:jc w:val="center"/>
      <w:spacing w:before="240" w:after="60" w:line="312" w:lineRule="auto"/>
      <w:outlineLvl w:val="1"/>
    </w:pPr>
    <w:rPr>
      <w:rFonts w:ascii="Cambria" w:hAnsi="Cambria" w:eastAsia="宋体"/>
      <w:b/>
      <w:bCs/>
      <w:sz w:val="32"/>
      <w:szCs w:val="32"/>
    </w:rPr>
  </w:style>
  <w:style w:type="character" w:styleId="1368" w:customStyle="1">
    <w:name w:val="副标题 字符"/>
    <w:link w:val="1367"/>
    <w:uiPriority w:val="0"/>
    <w:qFormat/>
    <w:rPr>
      <w:rFonts w:ascii="Cambria" w:hAnsi="Cambria" w:eastAsia="宋体" w:cs="Times New Roman"/>
      <w:b/>
      <w:bCs/>
      <w:sz w:val="32"/>
      <w:szCs w:val="32"/>
    </w:rPr>
  </w:style>
  <w:style w:type="paragraph" w:styleId="1369" w:customStyle="1">
    <w:name w:val="列表1"/>
    <w:basedOn w:val="1097"/>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370" w:customStyle="1">
    <w:name w:val="脚注文本1"/>
    <w:basedOn w:val="1097"/>
    <w:link w:val="1371"/>
    <w:uiPriority w:val="0"/>
    <w:qFormat/>
    <w:pPr>
      <w:jc w:val="left"/>
      <w:spacing w:line="312" w:lineRule="atLeast"/>
    </w:pPr>
    <w:rPr>
      <w:rFonts w:ascii="Times New Roman" w:hAnsi="Times New Roman" w:eastAsia="宋体"/>
      <w:sz w:val="18"/>
      <w:szCs w:val="20"/>
    </w:rPr>
  </w:style>
  <w:style w:type="character" w:styleId="1371" w:customStyle="1">
    <w:name w:val="脚注文本 字符"/>
    <w:link w:val="1370"/>
    <w:uiPriority w:val="0"/>
    <w:qFormat/>
    <w:rPr>
      <w:rFonts w:ascii="Times New Roman" w:hAnsi="Times New Roman" w:eastAsia="宋体" w:cs="Times New Roman"/>
      <w:sz w:val="18"/>
      <w:szCs w:val="20"/>
    </w:rPr>
  </w:style>
  <w:style w:type="paragraph" w:styleId="1372" w:customStyle="1">
    <w:name w:val="正文文本缩进 31"/>
    <w:basedOn w:val="1097"/>
    <w:link w:val="1373"/>
    <w:uiPriority w:val="99"/>
    <w:qFormat/>
    <w:pPr>
      <w:ind w:firstLine="540"/>
      <w:spacing w:line="360" w:lineRule="auto"/>
      <w:widowControl/>
    </w:pPr>
    <w:rPr>
      <w:rFonts w:ascii="宋体" w:hAnsi="MS Sans Serif" w:eastAsia="宋体"/>
      <w:color w:val="000000"/>
      <w:sz w:val="24"/>
      <w:szCs w:val="20"/>
    </w:rPr>
  </w:style>
  <w:style w:type="character" w:styleId="1373" w:customStyle="1">
    <w:name w:val="正文文本缩进 3 字符2"/>
    <w:link w:val="1372"/>
    <w:uiPriority w:val="99"/>
    <w:qFormat/>
    <w:rPr>
      <w:rFonts w:ascii="宋体" w:hAnsi="MS Sans Serif" w:eastAsia="宋体" w:cs="Times New Roman"/>
      <w:color w:val="000000"/>
      <w:sz w:val="24"/>
      <w:szCs w:val="20"/>
    </w:rPr>
  </w:style>
  <w:style w:type="paragraph" w:styleId="1374" w:customStyle="1">
    <w:name w:val="正文文本 21"/>
    <w:basedOn w:val="1097"/>
    <w:link w:val="1375"/>
    <w:uiPriority w:val="0"/>
    <w:qFormat/>
    <w:pPr>
      <w:spacing w:line="360" w:lineRule="auto"/>
      <w:tabs>
        <w:tab w:val="left" w:pos="540" w:leader="none"/>
      </w:tabs>
    </w:pPr>
    <w:rPr>
      <w:rFonts w:ascii="宋体" w:eastAsia="宋体"/>
      <w:color w:val="000000"/>
      <w:sz w:val="28"/>
      <w:szCs w:val="20"/>
    </w:rPr>
  </w:style>
  <w:style w:type="character" w:styleId="1375" w:customStyle="1">
    <w:name w:val="正文文本 2 字符"/>
    <w:link w:val="1374"/>
    <w:uiPriority w:val="0"/>
    <w:qFormat/>
    <w:rPr>
      <w:rFonts w:ascii="宋体" w:eastAsia="宋体" w:cs="Times New Roman"/>
      <w:color w:val="000000"/>
      <w:sz w:val="28"/>
      <w:szCs w:val="20"/>
    </w:rPr>
  </w:style>
  <w:style w:type="paragraph" w:styleId="1376" w:customStyle="1">
    <w:name w:val="普通(网站)1"/>
    <w:basedOn w:val="1097"/>
    <w:uiPriority w:val="99"/>
    <w:qFormat/>
    <w:pPr>
      <w:jc w:val="left"/>
      <w:spacing w:before="100" w:beforeAutospacing="1" w:after="100" w:afterAutospacing="1"/>
      <w:widowControl/>
    </w:pPr>
    <w:rPr>
      <w:rFonts w:ascii="宋体" w:hAnsi="宋体" w:eastAsia="宋体" w:cs="宋体"/>
      <w:sz w:val="24"/>
      <w:szCs w:val="24"/>
    </w:rPr>
  </w:style>
  <w:style w:type="paragraph" w:styleId="1377" w:customStyle="1">
    <w:name w:val="标题1"/>
    <w:basedOn w:val="1097"/>
    <w:next w:val="1097"/>
    <w:link w:val="1378"/>
    <w:uiPriority w:val="10"/>
    <w:qFormat/>
    <w:pPr>
      <w:jc w:val="center"/>
      <w:spacing w:before="240" w:after="60"/>
      <w:outlineLvl w:val="0"/>
    </w:pPr>
    <w:rPr>
      <w:rFonts w:ascii="Cambria" w:hAnsi="Cambria" w:eastAsia="宋体"/>
      <w:b/>
      <w:bCs/>
      <w:sz w:val="32"/>
      <w:szCs w:val="32"/>
    </w:rPr>
  </w:style>
  <w:style w:type="character" w:styleId="1378" w:customStyle="1">
    <w:name w:val="标题 字符"/>
    <w:link w:val="1377"/>
    <w:uiPriority w:val="10"/>
    <w:qFormat/>
    <w:rPr>
      <w:rFonts w:ascii="Cambria" w:hAnsi="Cambria" w:eastAsia="宋体" w:cs="Times New Roman"/>
      <w:b/>
      <w:bCs/>
      <w:sz w:val="32"/>
      <w:szCs w:val="32"/>
    </w:rPr>
  </w:style>
  <w:style w:type="paragraph" w:styleId="1379" w:customStyle="1">
    <w:name w:val="批注主题1"/>
    <w:basedOn w:val="1340"/>
    <w:next w:val="1340"/>
    <w:link w:val="1380"/>
    <w:uiPriority w:val="99"/>
    <w:qFormat/>
    <w:pPr>
      <w:spacing w:line="240" w:lineRule="auto"/>
    </w:pPr>
    <w:rPr>
      <w:b/>
      <w:bCs/>
      <w:sz w:val="21"/>
    </w:rPr>
  </w:style>
  <w:style w:type="character" w:styleId="1380" w:customStyle="1">
    <w:name w:val="批注主题 字符2"/>
    <w:link w:val="1379"/>
    <w:uiPriority w:val="99"/>
    <w:qFormat/>
    <w:rPr>
      <w:rFonts w:ascii="Times New Roman" w:hAnsi="Times New Roman" w:eastAsia="宋体" w:cs="Times New Roman"/>
      <w:b/>
      <w:bCs/>
      <w:szCs w:val="20"/>
    </w:rPr>
  </w:style>
  <w:style w:type="paragraph" w:styleId="1381" w:customStyle="1">
    <w:name w:val="正文首行缩进 21"/>
    <w:basedOn w:val="1348"/>
    <w:link w:val="1382"/>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82" w:customStyle="1">
    <w:name w:val="正文首行缩进 2 字符"/>
    <w:basedOn w:val="1350"/>
    <w:link w:val="1381"/>
    <w:uiPriority w:val="99"/>
    <w:semiHidden/>
    <w:qFormat/>
    <w:rPr>
      <w:rFonts w:ascii="宋体" w:hAnsi="MS Sans Serif" w:eastAsia="宋体" w:cs="Times New Roman"/>
      <w:spacing w:val="12"/>
      <w:sz w:val="24"/>
      <w:szCs w:val="20"/>
    </w:rPr>
  </w:style>
  <w:style w:type="table" w:styleId="1383" w:customStyle="1">
    <w:name w:val="网格型11"/>
    <w:basedOn w:val="1326"/>
    <w:uiPriority w:val="99"/>
    <w:unhideWhenUsed/>
    <w:qFormat/>
    <w:tblPr/>
  </w:style>
  <w:style w:type="character" w:styleId="1384" w:customStyle="1">
    <w:name w:val="要点1"/>
    <w:uiPriority w:val="0"/>
    <w:qFormat/>
    <w:rPr>
      <w:b/>
      <w:bCs/>
    </w:rPr>
  </w:style>
  <w:style w:type="character" w:styleId="1385" w:customStyle="1">
    <w:name w:val="页码1"/>
    <w:uiPriority w:val="0"/>
    <w:qFormat/>
  </w:style>
  <w:style w:type="character" w:styleId="1386" w:customStyle="1">
    <w:name w:val="已访问的超链接1"/>
    <w:uiPriority w:val="99"/>
    <w:qFormat/>
    <w:rPr>
      <w:color w:val="000000"/>
      <w:u w:val="none"/>
    </w:rPr>
  </w:style>
  <w:style w:type="character" w:styleId="1387" w:customStyle="1">
    <w:name w:val="强调1"/>
    <w:uiPriority w:val="0"/>
    <w:qFormat/>
  </w:style>
  <w:style w:type="character" w:styleId="1388" w:customStyle="1">
    <w:name w:val="HTML 打字机1"/>
    <w:link w:val="1097"/>
    <w:uiPriority w:val="0"/>
    <w:qFormat/>
    <w:rPr>
      <w:rFonts w:ascii="等线" w:hAnsi="等线" w:eastAsia="等线" w:cs="Times New Roman"/>
      <w:sz w:val="21"/>
      <w:szCs w:val="22"/>
      <w:lang w:val="en-US" w:eastAsia="zh-CN" w:bidi="ar-SA"/>
    </w:rPr>
  </w:style>
  <w:style w:type="character" w:styleId="1389" w:customStyle="1">
    <w:name w:val="超链接1"/>
    <w:uiPriority w:val="99"/>
    <w:qFormat/>
    <w:rPr>
      <w:color w:val="000000"/>
      <w:u w:val="none"/>
    </w:rPr>
  </w:style>
  <w:style w:type="character" w:styleId="1390" w:customStyle="1">
    <w:name w:val="HTML 代码1"/>
    <w:uiPriority w:val="0"/>
    <w:qFormat/>
    <w:rPr>
      <w:rFonts w:ascii="Courier New" w:hAnsi="Courier New"/>
      <w:sz w:val="20"/>
    </w:rPr>
  </w:style>
  <w:style w:type="character" w:styleId="1391" w:customStyle="1">
    <w:name w:val="批注引用1"/>
    <w:uiPriority w:val="99"/>
    <w:qFormat/>
    <w:rPr>
      <w:sz w:val="21"/>
      <w:szCs w:val="21"/>
    </w:rPr>
  </w:style>
  <w:style w:type="character" w:styleId="1392" w:customStyle="1">
    <w:name w:val="正文首行缩进 Char"/>
    <w:link w:val="1345"/>
    <w:uiPriority w:val="99"/>
    <w:semiHidden/>
    <w:qFormat/>
    <w:rPr>
      <w:rFonts w:ascii="Times New Roman" w:hAnsi="Times New Roman" w:eastAsia="华文中宋" w:cs="Times New Roman"/>
      <w:sz w:val="21"/>
      <w:szCs w:val="20"/>
    </w:rPr>
  </w:style>
  <w:style w:type="character" w:styleId="1393" w:customStyle="1">
    <w:name w:val="标题 1 字符"/>
    <w:uiPriority w:val="0"/>
    <w:qFormat/>
    <w:rPr>
      <w:b/>
      <w:bCs/>
      <w:sz w:val="44"/>
      <w:szCs w:val="44"/>
    </w:rPr>
  </w:style>
  <w:style w:type="character" w:styleId="1394" w:customStyle="1">
    <w:name w:val="标题 2 字符"/>
    <w:uiPriority w:val="0"/>
    <w:qFormat/>
    <w:rPr>
      <w:rFonts w:ascii="等线 Light" w:hAnsi="等线 Light" w:eastAsia="等线 Light" w:cs="Times New Roman"/>
      <w:b/>
      <w:bCs/>
      <w:sz w:val="32"/>
      <w:szCs w:val="32"/>
    </w:rPr>
  </w:style>
  <w:style w:type="character" w:styleId="1395" w:customStyle="1">
    <w:name w:val="标题 3 字符"/>
    <w:uiPriority w:val="0"/>
    <w:qFormat/>
    <w:rPr>
      <w:b/>
      <w:bCs/>
      <w:sz w:val="32"/>
      <w:szCs w:val="32"/>
    </w:rPr>
  </w:style>
  <w:style w:type="character" w:styleId="1396" w:customStyle="1">
    <w:name w:val="标题 4 字符"/>
    <w:uiPriority w:val="0"/>
    <w:qFormat/>
    <w:rPr>
      <w:rFonts w:ascii="等线 Light" w:hAnsi="等线 Light" w:eastAsia="等线 Light" w:cs="Times New Roman"/>
      <w:b/>
      <w:bCs/>
      <w:sz w:val="28"/>
      <w:szCs w:val="28"/>
    </w:rPr>
  </w:style>
  <w:style w:type="character" w:styleId="1397" w:customStyle="1">
    <w:name w:val="标题 5 字符"/>
    <w:uiPriority w:val="0"/>
    <w:qFormat/>
    <w:rPr>
      <w:b/>
      <w:bCs/>
      <w:sz w:val="28"/>
      <w:szCs w:val="28"/>
    </w:rPr>
  </w:style>
  <w:style w:type="character" w:styleId="1398" w:customStyle="1">
    <w:name w:val="标题 6 字符"/>
    <w:uiPriority w:val="0"/>
    <w:qFormat/>
    <w:rPr>
      <w:rFonts w:ascii="等线 Light" w:hAnsi="等线 Light" w:eastAsia="等线 Light" w:cs="Times New Roman"/>
      <w:b/>
      <w:bCs/>
      <w:sz w:val="24"/>
      <w:szCs w:val="24"/>
    </w:rPr>
  </w:style>
  <w:style w:type="character" w:styleId="1399" w:customStyle="1">
    <w:name w:val="标题 7 字符"/>
    <w:uiPriority w:val="0"/>
    <w:qFormat/>
    <w:rPr>
      <w:b/>
      <w:bCs/>
      <w:sz w:val="24"/>
      <w:szCs w:val="24"/>
    </w:rPr>
  </w:style>
  <w:style w:type="character" w:styleId="1400" w:customStyle="1">
    <w:name w:val="标题 8 字符"/>
    <w:uiPriority w:val="0"/>
    <w:qFormat/>
    <w:rPr>
      <w:rFonts w:ascii="等线 Light" w:hAnsi="等线 Light" w:eastAsia="等线 Light" w:cs="Times New Roman"/>
      <w:sz w:val="24"/>
      <w:szCs w:val="24"/>
    </w:rPr>
  </w:style>
  <w:style w:type="character" w:styleId="1401" w:customStyle="1">
    <w:name w:val="标题 9 字符"/>
    <w:uiPriority w:val="0"/>
    <w:qFormat/>
    <w:rPr>
      <w:rFonts w:ascii="等线 Light" w:hAnsi="等线 Light" w:eastAsia="等线 Light" w:cs="Times New Roman"/>
      <w:szCs w:val="21"/>
    </w:rPr>
  </w:style>
  <w:style w:type="paragraph" w:styleId="1402" w:customStyle="1">
    <w:name w:val="_Style 39"/>
    <w:basedOn w:val="1097"/>
    <w:next w:val="1403"/>
    <w:uiPriority w:val="34"/>
    <w:qFormat/>
    <w:pPr>
      <w:ind w:firstLine="420"/>
    </w:pPr>
    <w:rPr>
      <w:rFonts w:ascii="Times New Roman" w:hAnsi="Times New Roman" w:eastAsia="宋体"/>
      <w:szCs w:val="24"/>
    </w:rPr>
  </w:style>
  <w:style w:type="paragraph" w:styleId="1403" w:customStyle="1">
    <w:name w:val="列出段落2"/>
    <w:basedOn w:val="1097"/>
    <w:link w:val="1404"/>
    <w:uiPriority w:val="34"/>
    <w:qFormat/>
    <w:pPr>
      <w:ind w:firstLine="420"/>
    </w:pPr>
    <w:rPr>
      <w:szCs w:val="24"/>
    </w:rPr>
  </w:style>
  <w:style w:type="character" w:styleId="1404" w:customStyle="1">
    <w:name w:val="列表段落 字符"/>
    <w:link w:val="1403"/>
    <w:uiPriority w:val="34"/>
    <w:qFormat/>
    <w:rPr>
      <w:sz w:val="21"/>
      <w:szCs w:val="24"/>
    </w:rPr>
  </w:style>
  <w:style w:type="character" w:styleId="1405" w:customStyle="1">
    <w:name w:val="文档结构图 字符"/>
    <w:uiPriority w:val="0"/>
    <w:qFormat/>
    <w:rPr>
      <w:rFonts w:ascii="Microsoft YaHei UI" w:eastAsia="Microsoft YaHei UI"/>
      <w:sz w:val="18"/>
      <w:szCs w:val="18"/>
    </w:rPr>
  </w:style>
  <w:style w:type="character" w:styleId="1406" w:customStyle="1">
    <w:name w:val="批注文字 字符"/>
    <w:basedOn w:val="1325"/>
    <w:uiPriority w:val="0"/>
    <w:qFormat/>
  </w:style>
  <w:style w:type="character" w:styleId="1407" w:customStyle="1">
    <w:name w:val="正文文本 字符"/>
    <w:basedOn w:val="1325"/>
    <w:uiPriority w:val="0"/>
    <w:qFormat/>
  </w:style>
  <w:style w:type="character" w:styleId="1408" w:customStyle="1">
    <w:name w:val="正文文本缩进 字符"/>
    <w:basedOn w:val="1325"/>
    <w:uiPriority w:val="0"/>
    <w:qFormat/>
  </w:style>
  <w:style w:type="paragraph" w:styleId="140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10" w:customStyle="1">
    <w:name w:val="纯文本 字符"/>
    <w:uiPriority w:val="0"/>
    <w:qFormat/>
    <w:rPr>
      <w:rFonts w:ascii="等线" w:hAnsi="Courier New" w:cs="Courier New"/>
    </w:rPr>
  </w:style>
  <w:style w:type="character" w:styleId="1411" w:customStyle="1">
    <w:name w:val="日期 字符"/>
    <w:basedOn w:val="1325"/>
    <w:uiPriority w:val="0"/>
    <w:qFormat/>
  </w:style>
  <w:style w:type="character" w:styleId="1412" w:customStyle="1">
    <w:name w:val="正文文本缩进 2 字符"/>
    <w:basedOn w:val="1325"/>
    <w:uiPriority w:val="0"/>
    <w:qFormat/>
  </w:style>
  <w:style w:type="character" w:styleId="1413" w:customStyle="1">
    <w:name w:val="批注框文本 字符"/>
    <w:uiPriority w:val="0"/>
    <w:qFormat/>
    <w:rPr>
      <w:sz w:val="18"/>
      <w:szCs w:val="18"/>
    </w:rPr>
  </w:style>
  <w:style w:type="character" w:styleId="1414" w:customStyle="1">
    <w:name w:val="页脚 字符2"/>
    <w:uiPriority w:val="99"/>
    <w:qFormat/>
    <w:rPr>
      <w:sz w:val="18"/>
      <w:szCs w:val="18"/>
    </w:rPr>
  </w:style>
  <w:style w:type="character" w:styleId="1415" w:customStyle="1">
    <w:name w:val="页眉 字符2"/>
    <w:uiPriority w:val="99"/>
    <w:qFormat/>
    <w:rPr>
      <w:sz w:val="18"/>
      <w:szCs w:val="18"/>
    </w:rPr>
  </w:style>
  <w:style w:type="character" w:styleId="1416" w:customStyle="1">
    <w:name w:val="正文文本缩进 3 字符"/>
    <w:uiPriority w:val="0"/>
    <w:qFormat/>
    <w:rPr>
      <w:sz w:val="16"/>
      <w:szCs w:val="16"/>
    </w:rPr>
  </w:style>
  <w:style w:type="character" w:styleId="1417" w:customStyle="1">
    <w:name w:val="批注主题 字符"/>
    <w:uiPriority w:val="0"/>
    <w:qFormat/>
    <w:rPr>
      <w:b/>
      <w:bCs/>
    </w:rPr>
  </w:style>
  <w:style w:type="character" w:styleId="1418" w:customStyle="1">
    <w:name w:val="正文文本首行缩进 字符1"/>
    <w:uiPriority w:val="0"/>
    <w:qFormat/>
    <w:rPr>
      <w:sz w:val="21"/>
    </w:rPr>
  </w:style>
  <w:style w:type="character" w:styleId="1419" w:customStyle="1">
    <w:name w:val="正文文本首行缩进 2 字符"/>
    <w:uiPriority w:val="0"/>
    <w:qFormat/>
  </w:style>
  <w:style w:type="character" w:styleId="1420" w:customStyle="1">
    <w:name w:val="Comment Text Char1"/>
    <w:uiPriority w:val="0"/>
    <w:qFormat/>
    <w:rPr>
      <w:sz w:val="24"/>
      <w:lang w:bidi="ar-SA"/>
    </w:rPr>
  </w:style>
  <w:style w:type="character" w:styleId="1421" w:customStyle="1">
    <w:name w:val="Footnote Text Char"/>
    <w:uiPriority w:val="0"/>
    <w:qFormat/>
    <w:rPr>
      <w:rFonts w:eastAsia="宋体"/>
      <w:sz w:val="18"/>
      <w:lang w:val="en-US" w:eastAsia="zh-CN" w:bidi="ar-SA"/>
    </w:rPr>
  </w:style>
  <w:style w:type="character" w:styleId="1422" w:customStyle="1">
    <w:name w:val="font131"/>
    <w:uiPriority w:val="0"/>
    <w:qFormat/>
    <w:rPr>
      <w:rFonts w:ascii="Times New Roman" w:hAnsi="Times New Roman" w:cs="Times New Roman"/>
      <w:color w:val="000000"/>
      <w:sz w:val="20"/>
      <w:szCs w:val="20"/>
      <w:u w:val="none"/>
      <w:vertAlign w:val="superscript"/>
    </w:rPr>
  </w:style>
  <w:style w:type="character" w:styleId="1423" w:customStyle="1">
    <w:name w:val="Plain Text Char"/>
    <w:uiPriority w:val="0"/>
    <w:qFormat/>
    <w:rPr>
      <w:rFonts w:ascii="宋体" w:hAnsi="Courier New" w:eastAsia="宋体"/>
      <w:sz w:val="24"/>
      <w:lang w:bidi="ar-SA"/>
    </w:rPr>
  </w:style>
  <w:style w:type="character" w:styleId="1424" w:customStyle="1">
    <w:name w:val="正文文本 (5) Exact"/>
    <w:link w:val="1425"/>
    <w:uiPriority w:val="0"/>
    <w:qFormat/>
    <w:rPr>
      <w:rFonts w:ascii="仿宋" w:eastAsia="仿宋"/>
      <w:sz w:val="19"/>
      <w:szCs w:val="19"/>
      <w:shd w:val="clear" w:color="auto" w:fill="ffffff"/>
      <w:lang w:eastAsia="en-US"/>
    </w:rPr>
  </w:style>
  <w:style w:type="paragraph" w:styleId="1425" w:customStyle="1">
    <w:name w:val="正文文本 (5)"/>
    <w:basedOn w:val="1097"/>
    <w:link w:val="1424"/>
    <w:uiPriority w:val="0"/>
    <w:qFormat/>
    <w:pPr>
      <w:jc w:val="left"/>
      <w:spacing w:line="240" w:lineRule="atLeast"/>
      <w:shd w:val="clear" w:color="auto" w:fill="ffffff"/>
    </w:pPr>
    <w:rPr>
      <w:rFonts w:ascii="仿宋" w:eastAsia="仿宋"/>
      <w:sz w:val="19"/>
      <w:szCs w:val="19"/>
      <w:lang w:eastAsia="en-US"/>
    </w:rPr>
  </w:style>
  <w:style w:type="character" w:styleId="1426" w:customStyle="1">
    <w:name w:val="页眉 Char"/>
    <w:uiPriority w:val="99"/>
    <w:qFormat/>
    <w:rPr>
      <w:sz w:val="18"/>
      <w:szCs w:val="18"/>
    </w:rPr>
  </w:style>
  <w:style w:type="character" w:styleId="1427" w:customStyle="1">
    <w:name w:val="标题 1 Char1"/>
    <w:uiPriority w:val="0"/>
    <w:qFormat/>
    <w:rPr>
      <w:rFonts w:ascii="Calibri" w:hAnsi="Calibri" w:eastAsia="宋体" w:cs="Arial"/>
      <w:b/>
      <w:sz w:val="44"/>
      <w:szCs w:val="20"/>
    </w:rPr>
  </w:style>
  <w:style w:type="character" w:styleId="1428" w:customStyle="1">
    <w:name w:val="明显强调1"/>
    <w:uiPriority w:val="0"/>
    <w:qFormat/>
    <w:rPr>
      <w:b/>
      <w:bCs/>
      <w:i/>
      <w:iCs/>
      <w:color w:val="4f81bd"/>
    </w:rPr>
  </w:style>
  <w:style w:type="character" w:styleId="1429" w:customStyle="1">
    <w:name w:val="纯文本 Char1"/>
    <w:uiPriority w:val="0"/>
    <w:qFormat/>
    <w:rPr>
      <w:rFonts w:ascii="宋体" w:hAnsi="Courier New"/>
      <w:sz w:val="21"/>
    </w:rPr>
  </w:style>
  <w:style w:type="character" w:styleId="1430" w:customStyle="1">
    <w:name w:val="yf00正文 字符"/>
    <w:link w:val="1431"/>
    <w:uiPriority w:val="0"/>
    <w:qFormat/>
    <w:rPr>
      <w:rFonts w:ascii="宋体" w:hAnsi="宋体"/>
      <w:sz w:val="24"/>
      <w:szCs w:val="21"/>
    </w:rPr>
  </w:style>
  <w:style w:type="paragraph" w:styleId="1431" w:customStyle="1">
    <w:name w:val="yf00正文"/>
    <w:basedOn w:val="1097"/>
    <w:link w:val="1430"/>
    <w:uiPriority w:val="0"/>
    <w:qFormat/>
    <w:pPr>
      <w:ind w:firstLine="480"/>
      <w:spacing w:after="160" w:line="360" w:lineRule="auto"/>
    </w:pPr>
    <w:rPr>
      <w:rFonts w:ascii="宋体" w:hAnsi="宋体"/>
      <w:sz w:val="24"/>
      <w:szCs w:val="21"/>
    </w:rPr>
  </w:style>
  <w:style w:type="character" w:styleId="1432" w:customStyle="1">
    <w:name w:val="font101"/>
    <w:uiPriority w:val="0"/>
    <w:qFormat/>
    <w:rPr>
      <w:rFonts w:hint="eastAsia" w:ascii="宋体" w:hAnsi="宋体" w:eastAsia="宋体" w:cs="宋体"/>
      <w:color w:val="000000"/>
      <w:sz w:val="18"/>
      <w:szCs w:val="18"/>
      <w:u w:val="none"/>
    </w:rPr>
  </w:style>
  <w:style w:type="character" w:styleId="1433" w:customStyle="1">
    <w:name w:val="Header Char"/>
    <w:uiPriority w:val="0"/>
    <w:qFormat/>
    <w:rPr>
      <w:rFonts w:eastAsia="宋体"/>
      <w:sz w:val="18"/>
      <w:szCs w:val="18"/>
      <w:lang w:val="en-US" w:eastAsia="zh-CN" w:bidi="ar-SA"/>
    </w:rPr>
  </w:style>
  <w:style w:type="character" w:styleId="1434" w:customStyle="1">
    <w:name w:val="批注文字 Char Char"/>
    <w:uiPriority w:val="0"/>
    <w:qFormat/>
    <w:rPr>
      <w:rFonts w:ascii="宋体" w:hAnsi="Times New Roman" w:eastAsia="宋体" w:cs="Times New Roman"/>
      <w:sz w:val="28"/>
      <w:szCs w:val="20"/>
    </w:rPr>
  </w:style>
  <w:style w:type="character" w:styleId="1435" w:customStyle="1">
    <w:name w:val="fontstyle01"/>
    <w:uiPriority w:val="0"/>
    <w:qFormat/>
    <w:rPr>
      <w:rFonts w:ascii="MicrosoftYaHei-Identity-H" w:hAnsi="MicrosoftYaHei-Identity-H"/>
      <w:color w:val="231916"/>
      <w:sz w:val="22"/>
      <w:szCs w:val="22"/>
    </w:rPr>
  </w:style>
  <w:style w:type="character" w:styleId="1436" w:customStyle="1">
    <w:name w:val="font91"/>
    <w:basedOn w:val="1107"/>
    <w:uiPriority w:val="0"/>
    <w:qFormat/>
    <w:rPr>
      <w:rFonts w:hint="eastAsia" w:ascii="宋体" w:hAnsi="宋体" w:eastAsia="宋体" w:cs="宋体"/>
      <w:b/>
      <w:bCs/>
      <w:color w:val="000000"/>
      <w:sz w:val="24"/>
      <w:szCs w:val="24"/>
      <w:u w:val="none"/>
    </w:rPr>
  </w:style>
  <w:style w:type="character" w:styleId="1437" w:customStyle="1">
    <w:name w:val="font111"/>
    <w:uiPriority w:val="0"/>
    <w:qFormat/>
    <w:rPr>
      <w:rFonts w:hint="eastAsia" w:ascii="宋体" w:hAnsi="宋体" w:eastAsia="宋体" w:cs="宋体"/>
      <w:color w:val="000000"/>
      <w:sz w:val="20"/>
      <w:szCs w:val="20"/>
      <w:u w:val="none"/>
    </w:rPr>
  </w:style>
  <w:style w:type="character" w:styleId="1438" w:customStyle="1">
    <w:name w:val="tit12"/>
    <w:uiPriority w:val="0"/>
    <w:qFormat/>
    <w:rPr>
      <w:color w:val="db2200"/>
    </w:rPr>
  </w:style>
  <w:style w:type="character" w:styleId="1439" w:customStyle="1">
    <w:name w:val="批注文字 Char1"/>
    <w:uiPriority w:val="0"/>
    <w:qFormat/>
    <w:rPr>
      <w:rFonts w:ascii="Times New Roman" w:hAnsi="Times New Roman" w:eastAsia="宋体" w:cs="Times New Roman"/>
      <w:sz w:val="20"/>
      <w:szCs w:val="20"/>
    </w:rPr>
  </w:style>
  <w:style w:type="character" w:styleId="1440" w:customStyle="1">
    <w:name w:val="CITE"/>
    <w:uiPriority w:val="0"/>
    <w:qFormat/>
    <w:rPr>
      <w:i/>
    </w:rPr>
  </w:style>
  <w:style w:type="character" w:styleId="1441" w:customStyle="1">
    <w:name w:val="标题5 Char Char"/>
    <w:link w:val="1442"/>
    <w:uiPriority w:val="0"/>
    <w:qFormat/>
    <w:rPr>
      <w:rFonts w:ascii="Arial" w:hAnsi="Arial"/>
      <w:b/>
      <w:bCs/>
      <w:sz w:val="24"/>
      <w:szCs w:val="32"/>
    </w:rPr>
  </w:style>
  <w:style w:type="paragraph" w:styleId="1442" w:customStyle="1">
    <w:name w:val="标题5"/>
    <w:basedOn w:val="1196"/>
    <w:link w:val="1441"/>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443" w:customStyle="1">
    <w:name w:val="Variable"/>
    <w:uiPriority w:val="0"/>
    <w:qFormat/>
    <w:rPr>
      <w:i/>
    </w:rPr>
  </w:style>
  <w:style w:type="character" w:styleId="1444" w:customStyle="1">
    <w:name w:val="超链接_0"/>
    <w:uiPriority w:val="99"/>
    <w:qFormat/>
    <w:rPr>
      <w:rFonts w:ascii="Calibri" w:hAnsi="Calibri" w:cs="Times New Roman"/>
      <w:color w:val="0000ff"/>
      <w:u w:val="single"/>
    </w:rPr>
  </w:style>
  <w:style w:type="character" w:styleId="1445" w:customStyle="1">
    <w:name w:val="15"/>
    <w:uiPriority w:val="0"/>
    <w:qFormat/>
    <w:rPr>
      <w:rFonts w:ascii="Arial" w:hAnsi="Arial" w:cs="Arial"/>
      <w:b/>
      <w:bCs/>
      <w:sz w:val="32"/>
      <w:szCs w:val="32"/>
    </w:rPr>
  </w:style>
  <w:style w:type="character" w:styleId="1446" w:customStyle="1">
    <w:name w:val="Char Char91"/>
    <w:uiPriority w:val="0"/>
    <w:qFormat/>
    <w:rPr>
      <w:rFonts w:eastAsia="宋体"/>
      <w:b/>
      <w:bCs/>
      <w:sz w:val="32"/>
      <w:szCs w:val="44"/>
      <w:lang w:val="en-US" w:eastAsia="zh-CN" w:bidi="ar-SA"/>
    </w:rPr>
  </w:style>
  <w:style w:type="character" w:styleId="1447" w:customStyle="1">
    <w:name w:val="正文缩进 字符"/>
    <w:uiPriority w:val="0"/>
    <w:qFormat/>
    <w:rPr>
      <w:szCs w:val="24"/>
    </w:rPr>
  </w:style>
  <w:style w:type="character" w:styleId="1448" w:customStyle="1">
    <w:name w:val="日期 Char1"/>
    <w:uiPriority w:val="0"/>
    <w:qFormat/>
    <w:rPr>
      <w:rFonts w:ascii="Times New Roman" w:hAnsi="Times New Roman" w:eastAsia="宋体" w:cs="Times New Roman"/>
      <w:szCs w:val="24"/>
    </w:rPr>
  </w:style>
  <w:style w:type="character" w:styleId="1449" w:customStyle="1">
    <w:name w:val="正文文本缩进 2 字符1"/>
    <w:uiPriority w:val="99"/>
    <w:semiHidden/>
    <w:qFormat/>
    <w:rPr>
      <w:sz w:val="21"/>
      <w:szCs w:val="24"/>
    </w:rPr>
  </w:style>
  <w:style w:type="character" w:styleId="1450" w:customStyle="1">
    <w:name w:val="正文文本首行缩进 2 字符1"/>
    <w:uiPriority w:val="99"/>
    <w:qFormat/>
    <w:rPr>
      <w:rFonts w:ascii="宋体" w:hAnsi="MS Sans Serif"/>
      <w:spacing w:val="12"/>
      <w:sz w:val="21"/>
    </w:rPr>
  </w:style>
  <w:style w:type="character" w:styleId="1451" w:customStyle="1">
    <w:name w:val="正文文本缩进 3 字符1"/>
    <w:uiPriority w:val="99"/>
    <w:semiHidden/>
    <w:qFormat/>
    <w:rPr>
      <w:sz w:val="16"/>
      <w:szCs w:val="16"/>
    </w:rPr>
  </w:style>
  <w:style w:type="character" w:styleId="1452" w:customStyle="1">
    <w:name w:val="more6"/>
    <w:uiPriority w:val="0"/>
    <w:qFormat/>
  </w:style>
  <w:style w:type="character" w:styleId="1453" w:customStyle="1">
    <w:name w:val="HTML Markup"/>
    <w:uiPriority w:val="0"/>
    <w:qFormat/>
    <w:rPr>
      <w:vanish/>
      <w:color w:val="ff0000"/>
    </w:rPr>
  </w:style>
  <w:style w:type="character" w:styleId="1454" w:customStyle="1">
    <w:name w:val="不明显参考1"/>
    <w:uiPriority w:val="0"/>
    <w:qFormat/>
    <w:rPr>
      <w:smallCaps/>
      <w:color w:val="c0504d"/>
      <w:u w:val="single"/>
    </w:rPr>
  </w:style>
  <w:style w:type="character" w:styleId="1455" w:customStyle="1">
    <w:name w:val="font151"/>
    <w:uiPriority w:val="0"/>
    <w:qFormat/>
    <w:rPr>
      <w:rFonts w:ascii="Wingdings 2" w:hAnsi="Wingdings 2" w:eastAsia="Wingdings 2" w:cs="Wingdings 2"/>
      <w:color w:val="000000"/>
      <w:sz w:val="20"/>
      <w:szCs w:val="20"/>
      <w:u w:val="none"/>
    </w:rPr>
  </w:style>
  <w:style w:type="character" w:styleId="1456" w:customStyle="1">
    <w:name w:val="样式 Char"/>
    <w:link w:val="1457"/>
    <w:uiPriority w:val="0"/>
    <w:qFormat/>
    <w:rPr>
      <w:rFonts w:ascii="宋体" w:hAnsi="宋体" w:cs="宋体"/>
      <w:sz w:val="24"/>
      <w:szCs w:val="24"/>
    </w:rPr>
  </w:style>
  <w:style w:type="paragraph" w:styleId="1457" w:customStyle="1">
    <w:name w:val="样式"/>
    <w:link w:val="1456"/>
    <w:uiPriority w:val="0"/>
    <w:qFormat/>
    <w:pPr>
      <w:widowControl w:val="off"/>
    </w:pPr>
    <w:rPr>
      <w:rFonts w:hint="default" w:ascii="宋体" w:hAnsi="宋体" w:eastAsia="等线" w:cs="宋体"/>
      <w:sz w:val="24"/>
      <w:szCs w:val="24"/>
      <w:lang w:val="en-US" w:eastAsia="zh-CN" w:bidi="ar-SA"/>
    </w:rPr>
  </w:style>
  <w:style w:type="character" w:styleId="1458" w:customStyle="1">
    <w:name w:val="明显引用 Char1"/>
    <w:uiPriority w:val="30"/>
    <w:qFormat/>
    <w:rPr>
      <w:rFonts w:ascii="Times New Roman" w:hAnsi="Times New Roman" w:eastAsia="宋体" w:cs="Times New Roman"/>
      <w:b/>
      <w:bCs/>
      <w:i/>
      <w:iCs/>
      <w:color w:val="4f81bd"/>
      <w:szCs w:val="24"/>
    </w:rPr>
  </w:style>
  <w:style w:type="character" w:styleId="1459" w:customStyle="1">
    <w:name w:val="Document Map Char"/>
    <w:uiPriority w:val="0"/>
    <w:qFormat/>
    <w:rPr>
      <w:rFonts w:eastAsia="宋体"/>
      <w:sz w:val="21"/>
      <w:szCs w:val="24"/>
      <w:lang w:val="en-US" w:eastAsia="zh-CN" w:bidi="ar-SA"/>
    </w:rPr>
  </w:style>
  <w:style w:type="character" w:styleId="1460" w:customStyle="1">
    <w:name w:val="副标题 Char1"/>
    <w:uiPriority w:val="0"/>
    <w:qFormat/>
    <w:rPr>
      <w:rFonts w:ascii="Cambria" w:hAnsi="Cambria" w:cs="Times New Roman"/>
      <w:b/>
      <w:bCs/>
      <w:sz w:val="32"/>
      <w:szCs w:val="32"/>
    </w:rPr>
  </w:style>
  <w:style w:type="character" w:styleId="1461" w:customStyle="1">
    <w:name w:val="正文文本首行缩进 字符"/>
    <w:uiPriority w:val="0"/>
    <w:qFormat/>
    <w:rPr>
      <w:rFonts w:ascii="华文中宋" w:eastAsia="华文中宋"/>
      <w:sz w:val="21"/>
    </w:rPr>
  </w:style>
  <w:style w:type="character" w:styleId="1462" w:customStyle="1">
    <w:name w:val="正文文本缩进 字符1"/>
    <w:uiPriority w:val="99"/>
    <w:semiHidden/>
    <w:qFormat/>
    <w:rPr>
      <w:sz w:val="21"/>
      <w:szCs w:val="24"/>
    </w:rPr>
  </w:style>
  <w:style w:type="character" w:styleId="1463" w:customStyle="1">
    <w:name w:val="CODE"/>
    <w:uiPriority w:val="0"/>
    <w:qFormat/>
    <w:rPr>
      <w:rFonts w:ascii="Courier New" w:hAnsi="Courier New"/>
      <w:sz w:val="20"/>
    </w:rPr>
  </w:style>
  <w:style w:type="character" w:styleId="1464" w:customStyle="1">
    <w:name w:val="正文文本缩进 Char1"/>
    <w:uiPriority w:val="0"/>
    <w:qFormat/>
    <w:rPr>
      <w:sz w:val="21"/>
      <w:szCs w:val="24"/>
    </w:rPr>
  </w:style>
  <w:style w:type="character" w:styleId="1465" w:customStyle="1">
    <w:name w:val="文档结构图 Char1"/>
    <w:uiPriority w:val="0"/>
    <w:qFormat/>
    <w:rPr>
      <w:rFonts w:ascii="宋体" w:hAnsi="Times New Roman" w:eastAsia="宋体" w:cs="Times New Roman"/>
      <w:sz w:val="18"/>
      <w:szCs w:val="18"/>
    </w:rPr>
  </w:style>
  <w:style w:type="character" w:styleId="1466" w:customStyle="1">
    <w:name w:val="明显参考1"/>
    <w:uiPriority w:val="0"/>
    <w:qFormat/>
    <w:rPr>
      <w:b/>
      <w:bCs/>
      <w:smallCaps/>
      <w:color w:val="c0504d"/>
      <w:spacing w:val="5"/>
      <w:u w:val="single"/>
    </w:rPr>
  </w:style>
  <w:style w:type="character" w:styleId="1467" w:customStyle="1">
    <w:name w:val="Body Text Indent 2 Char"/>
    <w:uiPriority w:val="0"/>
    <w:qFormat/>
    <w:rPr>
      <w:rFonts w:eastAsia="宋体"/>
      <w:sz w:val="21"/>
      <w:szCs w:val="24"/>
      <w:lang w:val="en-US" w:eastAsia="zh-CN" w:bidi="ar-SA"/>
    </w:rPr>
  </w:style>
  <w:style w:type="character" w:styleId="1468" w:customStyle="1">
    <w:name w:val="Comment Text Char"/>
    <w:uiPriority w:val="0"/>
    <w:qFormat/>
    <w:rPr>
      <w:rFonts w:cs="Times New Roman"/>
      <w:sz w:val="24"/>
      <w:szCs w:val="24"/>
    </w:rPr>
  </w:style>
  <w:style w:type="character" w:styleId="1469" w:customStyle="1">
    <w:name w:val="标题 Char1"/>
    <w:uiPriority w:val="10"/>
    <w:qFormat/>
    <w:rPr>
      <w:rFonts w:ascii="Cambria" w:hAnsi="Cambria" w:eastAsia="宋体" w:cs="Times New Roman"/>
      <w:b/>
      <w:bCs/>
      <w:sz w:val="32"/>
      <w:szCs w:val="32"/>
    </w:rPr>
  </w:style>
  <w:style w:type="character" w:styleId="1470" w:customStyle="1">
    <w:name w:val="批注框文本 字符1"/>
    <w:uiPriority w:val="99"/>
    <w:semiHidden/>
    <w:qFormat/>
    <w:rPr>
      <w:sz w:val="18"/>
      <w:szCs w:val="18"/>
    </w:rPr>
  </w:style>
  <w:style w:type="character" w:styleId="1471" w:customStyle="1">
    <w:name w:val="Footer Char"/>
    <w:uiPriority w:val="0"/>
    <w:qFormat/>
    <w:rPr>
      <w:rFonts w:eastAsia="宋体"/>
      <w:sz w:val="18"/>
      <w:szCs w:val="18"/>
      <w:lang w:val="en-US" w:eastAsia="zh-CN" w:bidi="ar-SA"/>
    </w:rPr>
  </w:style>
  <w:style w:type="character" w:styleId="1472" w:customStyle="1">
    <w:name w:val="正文文本 Char1"/>
    <w:uiPriority w:val="0"/>
    <w:qFormat/>
    <w:rPr>
      <w:sz w:val="21"/>
      <w:szCs w:val="22"/>
    </w:rPr>
  </w:style>
  <w:style w:type="character" w:styleId="1473" w:customStyle="1">
    <w:name w:val="font341"/>
    <w:uiPriority w:val="0"/>
    <w:qFormat/>
    <w:rPr>
      <w:rFonts w:ascii="Times New Roman" w:hAnsi="Times New Roman" w:cs="Times New Roman"/>
      <w:color w:val="000000"/>
      <w:sz w:val="20"/>
      <w:szCs w:val="20"/>
      <w:u w:val="none"/>
    </w:rPr>
  </w:style>
  <w:style w:type="character" w:styleId="1474" w:customStyle="1">
    <w:name w:val="Char Char21"/>
    <w:uiPriority w:val="0"/>
    <w:qFormat/>
    <w:rPr>
      <w:rFonts w:ascii="Arial" w:hAnsi="Arial" w:eastAsia="黑体" w:cs="Times New Roman"/>
      <w:b/>
      <w:bCs/>
      <w:sz w:val="32"/>
      <w:szCs w:val="32"/>
    </w:rPr>
  </w:style>
  <w:style w:type="character" w:styleId="1475" w:customStyle="1">
    <w:name w:val="Balloon Text Char"/>
    <w:uiPriority w:val="0"/>
    <w:qFormat/>
    <w:rPr>
      <w:sz w:val="18"/>
      <w:lang w:bidi="ar-SA"/>
    </w:rPr>
  </w:style>
  <w:style w:type="character" w:styleId="1476" w:customStyle="1">
    <w:name w:val="正文非缩进 Char1"/>
    <w:uiPriority w:val="0"/>
    <w:qFormat/>
  </w:style>
  <w:style w:type="character" w:styleId="1477" w:customStyle="1">
    <w:name w:val="标题 2 Char1"/>
    <w:uiPriority w:val="0"/>
    <w:qFormat/>
    <w:rPr>
      <w:rFonts w:ascii="Arial" w:hAnsi="Arial" w:eastAsia="黑体" w:cs="Calibri"/>
      <w:b/>
      <w:sz w:val="32"/>
      <w:szCs w:val="20"/>
    </w:rPr>
  </w:style>
  <w:style w:type="character" w:styleId="1478" w:customStyle="1">
    <w:name w:val="Heading 2 Char"/>
    <w:uiPriority w:val="0"/>
    <w:qFormat/>
    <w:rPr>
      <w:rFonts w:ascii="Arial" w:hAnsi="Arial" w:eastAsia="黑体"/>
      <w:b/>
      <w:bCs/>
      <w:sz w:val="32"/>
      <w:szCs w:val="32"/>
      <w:lang w:val="en-US" w:eastAsia="zh-CN" w:bidi="ar-SA"/>
    </w:rPr>
  </w:style>
  <w:style w:type="character" w:styleId="1479" w:customStyle="1">
    <w:name w:val="font141"/>
    <w:uiPriority w:val="0"/>
    <w:qFormat/>
    <w:rPr>
      <w:rFonts w:ascii="Times New Roman" w:hAnsi="Times New Roman" w:cs="Times New Roman"/>
      <w:color w:val="000000"/>
      <w:sz w:val="18"/>
      <w:szCs w:val="18"/>
      <w:u w:val="none"/>
    </w:rPr>
  </w:style>
  <w:style w:type="character" w:styleId="1480" w:customStyle="1">
    <w:name w:val="Char Char3"/>
    <w:uiPriority w:val="0"/>
    <w:qFormat/>
    <w:rPr>
      <w:rFonts w:ascii="黑体" w:hAnsi="宋体" w:eastAsia="黑体" w:cs="Arial"/>
      <w:b/>
      <w:bCs/>
      <w:sz w:val="24"/>
      <w:szCs w:val="24"/>
      <w:lang w:val="en-US" w:eastAsia="zh-CN" w:bidi="ar-SA"/>
    </w:rPr>
  </w:style>
  <w:style w:type="character" w:styleId="1481" w:customStyle="1">
    <w:name w:val="引用 字符"/>
    <w:link w:val="1482"/>
    <w:uiPriority w:val="0"/>
    <w:qFormat/>
    <w:rPr>
      <w:i/>
      <w:iCs/>
      <w:color w:val="000000"/>
    </w:rPr>
  </w:style>
  <w:style w:type="paragraph" w:styleId="1482" w:customStyle="1">
    <w:name w:val="引用1"/>
    <w:basedOn w:val="1097"/>
    <w:next w:val="1097"/>
    <w:link w:val="1481"/>
    <w:uiPriority w:val="0"/>
    <w:qFormat/>
    <w:rPr>
      <w:i/>
      <w:iCs/>
      <w:color w:val="000000"/>
    </w:rPr>
  </w:style>
  <w:style w:type="character" w:styleId="1483" w:customStyle="1">
    <w:name w:val="引用 字符1"/>
    <w:uiPriority w:val="29"/>
    <w:qFormat/>
    <w:rPr>
      <w:i/>
      <w:iCs/>
      <w:color w:val="404040"/>
    </w:rPr>
  </w:style>
  <w:style w:type="character" w:styleId="1484" w:customStyle="1">
    <w:name w:val="Date Char"/>
    <w:uiPriority w:val="0"/>
    <w:qFormat/>
    <w:rPr>
      <w:rFonts w:eastAsia="宋体"/>
      <w:sz w:val="21"/>
      <w:szCs w:val="24"/>
      <w:lang w:val="en-US" w:eastAsia="zh-CN" w:bidi="ar-SA"/>
    </w:rPr>
  </w:style>
  <w:style w:type="character" w:styleId="1485" w:customStyle="1">
    <w:name w:val="Char Char9"/>
    <w:uiPriority w:val="0"/>
    <w:qFormat/>
    <w:rPr>
      <w:rFonts w:eastAsia="宋体"/>
      <w:b/>
      <w:bCs/>
      <w:sz w:val="32"/>
      <w:szCs w:val="44"/>
      <w:lang w:val="en-US" w:eastAsia="zh-CN" w:bidi="ar-SA"/>
    </w:rPr>
  </w:style>
  <w:style w:type="character" w:styleId="1486" w:customStyle="1">
    <w:name w:val="font122"/>
    <w:uiPriority w:val="0"/>
    <w:qFormat/>
    <w:rPr>
      <w:rFonts w:hint="eastAsia" w:ascii="宋体" w:hAnsi="宋体" w:eastAsia="宋体" w:cs="宋体"/>
      <w:color w:val="000000"/>
      <w:sz w:val="20"/>
      <w:szCs w:val="20"/>
      <w:u w:val="none"/>
      <w:vertAlign w:val="superscript"/>
    </w:rPr>
  </w:style>
  <w:style w:type="character" w:styleId="1487" w:customStyle="1">
    <w:name w:val="页眉 字符1"/>
    <w:uiPriority w:val="99"/>
    <w:semiHidden/>
    <w:qFormat/>
    <w:rPr>
      <w:sz w:val="18"/>
      <w:szCs w:val="18"/>
    </w:rPr>
  </w:style>
  <w:style w:type="character" w:styleId="1488" w:customStyle="1">
    <w:name w:val="页脚 字符1"/>
    <w:uiPriority w:val="99"/>
    <w:semiHidden/>
    <w:qFormat/>
    <w:rPr>
      <w:sz w:val="18"/>
      <w:szCs w:val="18"/>
    </w:rPr>
  </w:style>
  <w:style w:type="character" w:styleId="1489" w:customStyle="1">
    <w:name w:val="Comment"/>
    <w:uiPriority w:val="0"/>
    <w:qFormat/>
    <w:rPr>
      <w:vanish/>
    </w:rPr>
  </w:style>
  <w:style w:type="character" w:styleId="1490" w:customStyle="1">
    <w:name w:val="font81"/>
    <w:uiPriority w:val="0"/>
    <w:qFormat/>
    <w:rPr>
      <w:rFonts w:hint="eastAsia" w:ascii="宋体" w:hAnsi="宋体" w:eastAsia="宋体" w:cs="宋体"/>
      <w:color w:val="000000"/>
      <w:sz w:val="22"/>
      <w:szCs w:val="22"/>
      <w:u w:val="single"/>
    </w:rPr>
  </w:style>
  <w:style w:type="character" w:styleId="1491" w:customStyle="1">
    <w:name w:val="明显引用 字符"/>
    <w:link w:val="1492"/>
    <w:uiPriority w:val="0"/>
    <w:qFormat/>
    <w:rPr>
      <w:b/>
      <w:bCs/>
      <w:i/>
      <w:iCs/>
      <w:color w:val="4f81bd"/>
    </w:rPr>
  </w:style>
  <w:style w:type="paragraph" w:styleId="1492" w:customStyle="1">
    <w:name w:val="明显引用1"/>
    <w:basedOn w:val="1097"/>
    <w:next w:val="1097"/>
    <w:link w:val="1491"/>
    <w:uiPriority w:val="0"/>
    <w:qFormat/>
    <w:pPr>
      <w:ind w:left="936" w:right="936"/>
      <w:spacing w:before="200" w:after="280"/>
      <w:pBdr>
        <w:bottom w:val="single" w:color="4F81BD" w:sz="4" w:space="4"/>
      </w:pBdr>
    </w:pPr>
    <w:rPr>
      <w:b/>
      <w:bCs/>
      <w:i/>
      <w:iCs/>
      <w:color w:val="4f81bd"/>
    </w:rPr>
  </w:style>
  <w:style w:type="character" w:styleId="1493" w:customStyle="1">
    <w:name w:val="明显引用 字符1"/>
    <w:uiPriority w:val="30"/>
    <w:qFormat/>
    <w:rPr>
      <w:i/>
      <w:iCs/>
      <w:color w:val="4472c4"/>
    </w:rPr>
  </w:style>
  <w:style w:type="character" w:styleId="1494" w:customStyle="1">
    <w:name w:val="Char Char181"/>
    <w:uiPriority w:val="0"/>
    <w:qFormat/>
    <w:rPr>
      <w:b/>
      <w:bCs/>
      <w:sz w:val="44"/>
      <w:szCs w:val="44"/>
    </w:rPr>
  </w:style>
  <w:style w:type="character" w:styleId="1495" w:customStyle="1">
    <w:name w:val="Definition"/>
    <w:uiPriority w:val="0"/>
    <w:qFormat/>
    <w:rPr>
      <w:i/>
    </w:rPr>
  </w:style>
  <w:style w:type="character" w:styleId="1496" w:customStyle="1">
    <w:name w:val="Char Char23"/>
    <w:uiPriority w:val="0"/>
    <w:qFormat/>
    <w:rPr>
      <w:rFonts w:eastAsia="宋体"/>
      <w:b/>
      <w:bCs/>
      <w:sz w:val="32"/>
      <w:szCs w:val="44"/>
      <w:lang w:val="en-US" w:eastAsia="zh-CN" w:bidi="ar-SA"/>
    </w:rPr>
  </w:style>
  <w:style w:type="character" w:styleId="1497" w:customStyle="1">
    <w:name w:val="Para head"/>
    <w:uiPriority w:val="0"/>
    <w:qFormat/>
    <w:rPr>
      <w:rFonts w:ascii="Arial" w:hAnsi="Arial" w:eastAsia="Times New Roman"/>
      <w:sz w:val="20"/>
    </w:rPr>
  </w:style>
  <w:style w:type="character" w:styleId="1498" w:customStyle="1">
    <w:name w:val="【正文】 Char"/>
    <w:link w:val="1499"/>
    <w:uiPriority w:val="0"/>
    <w:qFormat/>
    <w:rPr>
      <w:rFonts w:ascii="宋体" w:hAnsi="宋体" w:cs="宋体"/>
      <w:sz w:val="24"/>
      <w:szCs w:val="24"/>
      <w:lang w:val="zh-CN"/>
    </w:rPr>
  </w:style>
  <w:style w:type="paragraph" w:styleId="1499" w:customStyle="1">
    <w:name w:val="【正文】"/>
    <w:basedOn w:val="1374"/>
    <w:link w:val="1498"/>
    <w:uiPriority w:val="0"/>
    <w:qFormat/>
    <w:pPr>
      <w:ind w:firstLine="480"/>
      <w:tabs>
        <w:tab w:val="clear" w:pos="540" w:leader="none"/>
      </w:tabs>
    </w:pPr>
    <w:rPr>
      <w:rFonts w:hAnsi="宋体" w:eastAsia="等线" w:cs="宋体"/>
      <w:sz w:val="24"/>
      <w:szCs w:val="24"/>
      <w:lang w:val="zh-CN"/>
    </w:rPr>
  </w:style>
  <w:style w:type="character" w:styleId="1500" w:customStyle="1">
    <w:name w:val="Char Char6"/>
    <w:uiPriority w:val="0"/>
    <w:qFormat/>
    <w:rPr>
      <w:rFonts w:eastAsia="宋体"/>
      <w:b/>
      <w:bCs/>
      <w:sz w:val="32"/>
      <w:szCs w:val="44"/>
      <w:lang w:val="en-US" w:eastAsia="zh-CN" w:bidi="ar-SA"/>
    </w:rPr>
  </w:style>
  <w:style w:type="character" w:styleId="1501" w:customStyle="1">
    <w:name w:val="标题 Char2"/>
    <w:uiPriority w:val="0"/>
    <w:qFormat/>
    <w:rPr>
      <w:rFonts w:ascii="Cambria" w:hAnsi="Cambria" w:eastAsia="宋体" w:cs="Times New Roman"/>
      <w:b/>
      <w:bCs/>
      <w:sz w:val="32"/>
      <w:szCs w:val="32"/>
    </w:rPr>
  </w:style>
  <w:style w:type="character" w:styleId="1502" w:customStyle="1">
    <w:name w:val="Char Char22"/>
    <w:uiPriority w:val="0"/>
    <w:qFormat/>
    <w:rPr>
      <w:rFonts w:ascii="Times New Roman" w:hAnsi="Times New Roman" w:eastAsia="宋体" w:cs="Times New Roman"/>
      <w:b/>
      <w:bCs/>
      <w:sz w:val="32"/>
      <w:szCs w:val="44"/>
    </w:rPr>
  </w:style>
  <w:style w:type="character" w:styleId="1503" w:customStyle="1">
    <w:name w:val="样式3 字符"/>
    <w:link w:val="1504"/>
    <w:uiPriority w:val="0"/>
    <w:qFormat/>
    <w:rPr>
      <w:rFonts w:eastAsia="黑体"/>
      <w:b/>
      <w:bCs/>
      <w:sz w:val="32"/>
      <w:szCs w:val="44"/>
    </w:rPr>
  </w:style>
  <w:style w:type="paragraph" w:styleId="1504" w:customStyle="1">
    <w:name w:val="样式3"/>
    <w:basedOn w:val="1316"/>
    <w:link w:val="1503"/>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505" w:customStyle="1">
    <w:name w:val="font71"/>
    <w:uiPriority w:val="0"/>
    <w:qFormat/>
    <w:rPr>
      <w:rFonts w:hint="eastAsia" w:ascii="宋体" w:hAnsi="宋体" w:eastAsia="宋体" w:cs="宋体"/>
      <w:color w:val="000000"/>
      <w:sz w:val="18"/>
      <w:szCs w:val="18"/>
      <w:u w:val="none"/>
    </w:rPr>
  </w:style>
  <w:style w:type="character" w:styleId="1506" w:customStyle="1">
    <w:name w:val="批注框文本 Char1"/>
    <w:uiPriority w:val="0"/>
    <w:qFormat/>
    <w:rPr>
      <w:rFonts w:ascii="Times New Roman" w:hAnsi="Times New Roman" w:eastAsia="宋体" w:cs="Times New Roman"/>
      <w:sz w:val="18"/>
      <w:szCs w:val="18"/>
    </w:rPr>
  </w:style>
  <w:style w:type="character" w:styleId="1507" w:customStyle="1">
    <w:name w:val="font291"/>
    <w:uiPriority w:val="0"/>
    <w:qFormat/>
    <w:rPr>
      <w:rFonts w:hint="eastAsia" w:ascii="宋体" w:hAnsi="宋体" w:eastAsia="宋体" w:cs="宋体"/>
      <w:color w:val="000000"/>
      <w:sz w:val="20"/>
      <w:szCs w:val="20"/>
      <w:u w:val="none"/>
    </w:rPr>
  </w:style>
  <w:style w:type="character" w:styleId="1508" w:customStyle="1">
    <w:name w:val="Char Char18"/>
    <w:uiPriority w:val="0"/>
    <w:qFormat/>
    <w:rPr>
      <w:rFonts w:ascii="Times New Roman" w:hAnsi="Times New Roman" w:eastAsia="宋体" w:cs="Times New Roman"/>
      <w:b/>
      <w:bCs/>
      <w:sz w:val="28"/>
      <w:szCs w:val="28"/>
    </w:rPr>
  </w:style>
  <w:style w:type="character" w:styleId="1509" w:customStyle="1">
    <w:name w:val="表格正文样式 字符"/>
    <w:link w:val="1510"/>
    <w:uiPriority w:val="0"/>
    <w:qFormat/>
    <w:rPr>
      <w:rFonts w:ascii="宋体" w:hAnsi="宋体" w:cs="宋体"/>
      <w:color w:val="000000"/>
      <w:sz w:val="24"/>
      <w:szCs w:val="24"/>
    </w:rPr>
  </w:style>
  <w:style w:type="paragraph" w:styleId="1510" w:customStyle="1">
    <w:name w:val="表格正文样式"/>
    <w:basedOn w:val="1097"/>
    <w:link w:val="1509"/>
    <w:uiPriority w:val="0"/>
    <w:qFormat/>
    <w:pPr>
      <w:widowControl/>
    </w:pPr>
    <w:rPr>
      <w:rFonts w:ascii="宋体" w:hAnsi="宋体" w:cs="宋体"/>
      <w:color w:val="000000"/>
      <w:sz w:val="24"/>
      <w:szCs w:val="24"/>
    </w:rPr>
  </w:style>
  <w:style w:type="character" w:styleId="1511" w:customStyle="1">
    <w:name w:val="font31"/>
    <w:uiPriority w:val="0"/>
    <w:qFormat/>
    <w:rPr>
      <w:rFonts w:hint="eastAsia" w:ascii="宋体" w:hAnsi="宋体" w:eastAsia="宋体" w:cs="宋体"/>
      <w:color w:val="000000"/>
      <w:sz w:val="22"/>
      <w:szCs w:val="22"/>
      <w:u w:val="none"/>
    </w:rPr>
  </w:style>
  <w:style w:type="character" w:styleId="1512" w:customStyle="1">
    <w:name w:val="标题 字符1"/>
    <w:uiPriority w:val="10"/>
    <w:qFormat/>
    <w:rPr>
      <w:rFonts w:ascii="等线 Light" w:hAnsi="等线 Light" w:cs="Times New Roman"/>
      <w:b/>
      <w:bCs/>
      <w:sz w:val="32"/>
      <w:szCs w:val="32"/>
    </w:rPr>
  </w:style>
  <w:style w:type="character" w:styleId="1513" w:customStyle="1">
    <w:name w:val="正文文本 字符1"/>
    <w:uiPriority w:val="99"/>
    <w:semiHidden/>
    <w:qFormat/>
    <w:rPr>
      <w:sz w:val="21"/>
      <w:szCs w:val="24"/>
    </w:rPr>
  </w:style>
  <w:style w:type="character" w:styleId="1514" w:customStyle="1">
    <w:name w:val="标题 3 Char"/>
    <w:uiPriority w:val="9"/>
    <w:qFormat/>
    <w:rPr>
      <w:rFonts w:eastAsia="宋体"/>
      <w:b/>
      <w:sz w:val="32"/>
      <w:lang w:val="en-US" w:eastAsia="zh-CN" w:bidi="ar-SA"/>
    </w:rPr>
  </w:style>
  <w:style w:type="character" w:styleId="1515" w:customStyle="1">
    <w:name w:val="Heading 4 Char"/>
    <w:uiPriority w:val="0"/>
    <w:qFormat/>
    <w:rPr>
      <w:rFonts w:ascii="Arial" w:hAnsi="Arial" w:eastAsia="宋体"/>
      <w:b/>
      <w:bCs/>
      <w:sz w:val="21"/>
      <w:szCs w:val="28"/>
      <w:lang w:val="en-US" w:eastAsia="zh-CN" w:bidi="ar-SA"/>
    </w:rPr>
  </w:style>
  <w:style w:type="character" w:styleId="1516" w:customStyle="1">
    <w:name w:val="副标题 字符1"/>
    <w:uiPriority w:val="11"/>
    <w:qFormat/>
    <w:rPr>
      <w:rFonts w:ascii="等线 Light" w:hAnsi="等线 Light" w:cs="Times New Roman"/>
      <w:b/>
      <w:bCs/>
      <w:sz w:val="32"/>
      <w:szCs w:val="32"/>
    </w:rPr>
  </w:style>
  <w:style w:type="character" w:styleId="1517" w:customStyle="1">
    <w:name w:val="2 级标题 Char"/>
    <w:link w:val="1518"/>
    <w:uiPriority w:val="0"/>
    <w:qFormat/>
    <w:rPr>
      <w:bCs/>
      <w:sz w:val="24"/>
      <w:szCs w:val="32"/>
    </w:rPr>
  </w:style>
  <w:style w:type="paragraph" w:styleId="1518" w:customStyle="1">
    <w:name w:val="2 级标题"/>
    <w:basedOn w:val="1317"/>
    <w:link w:val="1517"/>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519" w:customStyle="1">
    <w:name w:val="font322"/>
    <w:uiPriority w:val="0"/>
    <w:qFormat/>
    <w:rPr>
      <w:rFonts w:hint="eastAsia" w:ascii="宋体" w:hAnsi="宋体" w:eastAsia="宋体" w:cs="宋体"/>
      <w:color w:val="000000"/>
      <w:sz w:val="20"/>
      <w:szCs w:val="20"/>
      <w:u w:val="none"/>
    </w:rPr>
  </w:style>
  <w:style w:type="character" w:styleId="1520" w:customStyle="1">
    <w:name w:val="Heading 1 Char"/>
    <w:uiPriority w:val="0"/>
    <w:qFormat/>
    <w:rPr>
      <w:rFonts w:eastAsia="宋体"/>
      <w:b/>
      <w:bCs/>
      <w:sz w:val="32"/>
      <w:szCs w:val="44"/>
      <w:lang w:val="en-US" w:eastAsia="zh-CN" w:bidi="ar-SA"/>
    </w:rPr>
  </w:style>
  <w:style w:type="character" w:styleId="1521" w:customStyle="1">
    <w:name w:val="Char Char4"/>
    <w:uiPriority w:val="0"/>
    <w:qFormat/>
    <w:rPr>
      <w:rFonts w:ascii="宋体" w:hAnsi="宋体" w:eastAsia="黑体" w:cs="Arial"/>
      <w:b/>
      <w:sz w:val="28"/>
      <w:szCs w:val="32"/>
      <w:lang w:val="en-US" w:eastAsia="zh-CN" w:bidi="ar-SA"/>
    </w:rPr>
  </w:style>
  <w:style w:type="character" w:styleId="1522" w:customStyle="1">
    <w:name w:val="Body Text Indent Char"/>
    <w:uiPriority w:val="0"/>
    <w:qFormat/>
    <w:rPr>
      <w:rFonts w:ascii="宋体" w:hAnsi="宋体" w:eastAsia="宋体"/>
      <w:sz w:val="21"/>
      <w:lang w:val="en-US" w:eastAsia="zh-CN" w:bidi="ar-SA"/>
    </w:rPr>
  </w:style>
  <w:style w:type="character" w:styleId="1523" w:customStyle="1">
    <w:name w:val="日期 字符1"/>
    <w:uiPriority w:val="99"/>
    <w:semiHidden/>
    <w:qFormat/>
    <w:rPr>
      <w:sz w:val="21"/>
      <w:szCs w:val="24"/>
    </w:rPr>
  </w:style>
  <w:style w:type="character" w:styleId="1524" w:customStyle="1">
    <w:name w:val="font361"/>
    <w:uiPriority w:val="0"/>
    <w:qFormat/>
    <w:rPr>
      <w:rFonts w:hint="eastAsia" w:ascii="宋体" w:hAnsi="宋体" w:eastAsia="宋体" w:cs="宋体"/>
      <w:b/>
      <w:color w:val="000000"/>
      <w:sz w:val="20"/>
      <w:szCs w:val="20"/>
      <w:u w:val="none"/>
    </w:rPr>
  </w:style>
  <w:style w:type="character" w:styleId="1525" w:customStyle="1">
    <w:name w:val="脚注文本 字符1"/>
    <w:uiPriority w:val="99"/>
    <w:qFormat/>
    <w:rPr>
      <w:sz w:val="18"/>
      <w:szCs w:val="18"/>
    </w:rPr>
  </w:style>
  <w:style w:type="character" w:styleId="1526" w:customStyle="1">
    <w:name w:val="textcontents"/>
    <w:uiPriority w:val="0"/>
    <w:qFormat/>
    <w:rPr>
      <w:rFonts w:cs="Times New Roman"/>
    </w:rPr>
  </w:style>
  <w:style w:type="character" w:styleId="1527" w:customStyle="1">
    <w:name w:val="纯文本 Char"/>
    <w:uiPriority w:val="99"/>
    <w:qFormat/>
    <w:rPr>
      <w:rFonts w:ascii="宋体" w:hAnsi="Courier New" w:eastAsia="宋体"/>
      <w:sz w:val="21"/>
      <w:lang w:val="en-US" w:eastAsia="zh-CN" w:bidi="ar-SA"/>
    </w:rPr>
  </w:style>
  <w:style w:type="character" w:styleId="1528" w:customStyle="1">
    <w:name w:val="引用 Char1"/>
    <w:uiPriority w:val="29"/>
    <w:qFormat/>
    <w:rPr>
      <w:rFonts w:ascii="Times New Roman" w:hAnsi="Times New Roman" w:eastAsia="宋体" w:cs="Times New Roman"/>
      <w:i/>
      <w:iCs/>
      <w:color w:val="000000"/>
      <w:szCs w:val="24"/>
    </w:rPr>
  </w:style>
  <w:style w:type="character" w:styleId="1529" w:customStyle="1">
    <w:name w:val="正文文本 3 字符1"/>
    <w:uiPriority w:val="99"/>
    <w:qFormat/>
    <w:rPr>
      <w:sz w:val="16"/>
      <w:szCs w:val="16"/>
    </w:rPr>
  </w:style>
  <w:style w:type="character" w:styleId="1530" w:customStyle="1">
    <w:name w:val="Char Char1"/>
    <w:uiPriority w:val="0"/>
    <w:qFormat/>
    <w:rPr>
      <w:rFonts w:ascii="黑体" w:hAnsi="Arial" w:eastAsia="黑体" w:cs="Arial"/>
      <w:b/>
      <w:bCs/>
      <w:sz w:val="32"/>
      <w:szCs w:val="32"/>
      <w:lang w:val="en-US" w:eastAsia="zh-CN" w:bidi="ar-SA"/>
    </w:rPr>
  </w:style>
  <w:style w:type="character" w:styleId="1531" w:customStyle="1">
    <w:name w:val="font381"/>
    <w:uiPriority w:val="0"/>
    <w:qFormat/>
    <w:rPr>
      <w:rFonts w:hint="eastAsia" w:ascii="宋体" w:hAnsi="宋体" w:eastAsia="宋体" w:cs="宋体"/>
      <w:color w:val="000000"/>
      <w:sz w:val="20"/>
      <w:szCs w:val="20"/>
      <w:u w:val="none"/>
    </w:rPr>
  </w:style>
  <w:style w:type="character" w:styleId="1532" w:customStyle="1">
    <w:name w:val="font61"/>
    <w:uiPriority w:val="0"/>
    <w:qFormat/>
    <w:rPr>
      <w:rFonts w:ascii="Times New Roman" w:hAnsi="Times New Roman" w:cs="Times New Roman"/>
      <w:color w:val="000000"/>
      <w:sz w:val="24"/>
      <w:szCs w:val="24"/>
      <w:u w:val="none"/>
    </w:rPr>
  </w:style>
  <w:style w:type="character" w:styleId="1533" w:customStyle="1">
    <w:name w:val="font01"/>
    <w:uiPriority w:val="0"/>
    <w:qFormat/>
    <w:rPr>
      <w:rFonts w:ascii="Times New Roman" w:hAnsi="Times New Roman" w:cs="Times New Roman"/>
      <w:color w:val="000000"/>
      <w:sz w:val="24"/>
      <w:szCs w:val="24"/>
      <w:u w:val="none"/>
    </w:rPr>
  </w:style>
  <w:style w:type="character" w:styleId="1534" w:customStyle="1">
    <w:name w:val="正文文本 2 字符1"/>
    <w:uiPriority w:val="99"/>
    <w:qFormat/>
    <w:rPr>
      <w:sz w:val="21"/>
    </w:rPr>
  </w:style>
  <w:style w:type="character" w:styleId="1535" w:customStyle="1">
    <w:name w:val="批注文字 字符1"/>
    <w:uiPriority w:val="99"/>
    <w:semiHidden/>
    <w:qFormat/>
    <w:rPr>
      <w:sz w:val="21"/>
      <w:szCs w:val="24"/>
    </w:rPr>
  </w:style>
  <w:style w:type="character" w:styleId="1536" w:customStyle="1">
    <w:name w:val="文档结构图 字符1"/>
    <w:uiPriority w:val="99"/>
    <w:semiHidden/>
    <w:qFormat/>
    <w:rPr>
      <w:rFonts w:ascii="Microsoft YaHei UI" w:eastAsia="Microsoft YaHei UI"/>
      <w:sz w:val="18"/>
      <w:szCs w:val="18"/>
    </w:rPr>
  </w:style>
  <w:style w:type="character" w:styleId="1537" w:customStyle="1">
    <w:name w:val="Heading 3 Char"/>
    <w:uiPriority w:val="0"/>
    <w:qFormat/>
    <w:rPr>
      <w:rFonts w:cs="Times New Roman"/>
      <w:b/>
      <w:bCs/>
      <w:sz w:val="32"/>
      <w:szCs w:val="32"/>
    </w:rPr>
  </w:style>
  <w:style w:type="character" w:styleId="1538" w:customStyle="1">
    <w:name w:val="Sample"/>
    <w:uiPriority w:val="0"/>
    <w:qFormat/>
    <w:rPr>
      <w:rFonts w:ascii="Courier New" w:hAnsi="Courier New"/>
    </w:rPr>
  </w:style>
  <w:style w:type="character" w:styleId="1539" w:customStyle="1">
    <w:name w:val="Char Char"/>
    <w:uiPriority w:val="0"/>
    <w:qFormat/>
    <w:rPr>
      <w:rFonts w:eastAsia="宋体"/>
      <w:b/>
      <w:sz w:val="21"/>
      <w:szCs w:val="24"/>
      <w:lang w:val="en-US" w:eastAsia="zh-CN" w:bidi="ar-SA"/>
    </w:rPr>
  </w:style>
  <w:style w:type="character" w:styleId="1540" w:customStyle="1">
    <w:name w:val="Heading 5 Char"/>
    <w:uiPriority w:val="0"/>
    <w:qFormat/>
    <w:rPr>
      <w:rFonts w:eastAsia="宋体"/>
      <w:b/>
      <w:bCs/>
      <w:sz w:val="28"/>
      <w:szCs w:val="28"/>
      <w:lang w:val="en-US" w:eastAsia="zh-CN" w:bidi="ar-SA"/>
    </w:rPr>
  </w:style>
  <w:style w:type="character" w:styleId="1541" w:customStyle="1">
    <w:name w:val="font21"/>
    <w:uiPriority w:val="0"/>
    <w:qFormat/>
    <w:rPr>
      <w:rFonts w:hint="eastAsia" w:ascii="宋体" w:hAnsi="宋体" w:eastAsia="宋体" w:cs="宋体"/>
      <w:b/>
      <w:color w:val="000000"/>
      <w:sz w:val="24"/>
      <w:szCs w:val="24"/>
      <w:u w:val="none"/>
    </w:rPr>
  </w:style>
  <w:style w:type="character" w:styleId="1542" w:customStyle="1">
    <w:name w:val="Char Char19"/>
    <w:uiPriority w:val="0"/>
    <w:qFormat/>
    <w:rPr>
      <w:rFonts w:ascii="Arial" w:hAnsi="Arial" w:eastAsia="宋体" w:cs="Times New Roman"/>
      <w:b/>
      <w:bCs/>
      <w:szCs w:val="28"/>
    </w:rPr>
  </w:style>
  <w:style w:type="character" w:styleId="1543" w:customStyle="1">
    <w:name w:val="font41"/>
    <w:uiPriority w:val="0"/>
    <w:qFormat/>
    <w:rPr>
      <w:rFonts w:hint="eastAsia" w:ascii="宋体" w:hAnsi="宋体" w:eastAsia="宋体" w:cs="宋体"/>
      <w:color w:val="000000"/>
      <w:sz w:val="24"/>
      <w:szCs w:val="24"/>
      <w:u w:val="none"/>
    </w:rPr>
  </w:style>
  <w:style w:type="character" w:styleId="1544" w:customStyle="1">
    <w:name w:val="Typewriter"/>
    <w:uiPriority w:val="0"/>
    <w:qFormat/>
    <w:rPr>
      <w:rFonts w:ascii="Courier New" w:hAnsi="Courier New"/>
      <w:sz w:val="20"/>
    </w:rPr>
  </w:style>
  <w:style w:type="character" w:styleId="1545" w:customStyle="1">
    <w:name w:val="Comment Subject Char"/>
    <w:uiPriority w:val="0"/>
    <w:qFormat/>
    <w:rPr>
      <w:b/>
      <w:sz w:val="24"/>
      <w:lang w:bidi="ar-SA"/>
    </w:rPr>
  </w:style>
  <w:style w:type="character" w:styleId="1546" w:customStyle="1">
    <w:name w:val="纯文本 字符1"/>
    <w:uiPriority w:val="99"/>
    <w:semiHidden/>
    <w:qFormat/>
    <w:rPr>
      <w:rFonts w:ascii="等线" w:hAnsi="Courier New" w:eastAsia="等线" w:cs="Courier New"/>
      <w:sz w:val="21"/>
      <w:szCs w:val="24"/>
    </w:rPr>
  </w:style>
  <w:style w:type="character" w:styleId="1547" w:customStyle="1">
    <w:name w:val="标题4 Char Char"/>
    <w:link w:val="1548"/>
    <w:uiPriority w:val="0"/>
    <w:qFormat/>
    <w:rPr>
      <w:rFonts w:ascii="Arial" w:hAnsi="Arial"/>
      <w:b/>
      <w:bCs/>
      <w:sz w:val="24"/>
      <w:szCs w:val="32"/>
    </w:rPr>
  </w:style>
  <w:style w:type="paragraph" w:styleId="1548" w:customStyle="1">
    <w:name w:val="标题4"/>
    <w:basedOn w:val="1317"/>
    <w:next w:val="1352"/>
    <w:link w:val="1547"/>
    <w:uiPriority w:val="0"/>
    <w:qFormat/>
    <w:pPr>
      <w:jc w:val="center"/>
      <w:spacing w:before="60" w:after="60"/>
    </w:pPr>
    <w:rPr>
      <w:rFonts w:eastAsia="等线"/>
      <w:sz w:val="24"/>
    </w:rPr>
  </w:style>
  <w:style w:type="character" w:styleId="1549" w:customStyle="1">
    <w:name w:val="Heading 3 Char1"/>
    <w:uiPriority w:val="0"/>
    <w:qFormat/>
    <w:rPr>
      <w:rFonts w:eastAsia="宋体"/>
      <w:b/>
      <w:bCs/>
      <w:sz w:val="24"/>
      <w:szCs w:val="32"/>
      <w:lang w:val="en-US" w:eastAsia="zh-CN" w:bidi="ar-SA"/>
    </w:rPr>
  </w:style>
  <w:style w:type="character" w:styleId="155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551" w:customStyle="1">
    <w:name w:val="font51"/>
    <w:uiPriority w:val="0"/>
    <w:qFormat/>
    <w:rPr>
      <w:rFonts w:ascii="Calibri" w:hAnsi="Calibri" w:cs="Calibri"/>
      <w:color w:val="000000"/>
      <w:sz w:val="24"/>
      <w:szCs w:val="24"/>
      <w:u w:val="none"/>
    </w:rPr>
  </w:style>
  <w:style w:type="character" w:styleId="1552" w:customStyle="1">
    <w:name w:val="不明显强调1"/>
    <w:uiPriority w:val="0"/>
    <w:qFormat/>
    <w:rPr>
      <w:i/>
      <w:iCs/>
      <w:color w:val="808080"/>
    </w:rPr>
  </w:style>
  <w:style w:type="character" w:styleId="1553" w:customStyle="1">
    <w:name w:val="批注主题 Char1"/>
    <w:uiPriority w:val="0"/>
    <w:qFormat/>
    <w:rPr>
      <w:rFonts w:ascii="Times New Roman" w:hAnsi="Times New Roman" w:eastAsia="宋体" w:cs="Times New Roman"/>
      <w:b/>
      <w:bCs/>
      <w:sz w:val="20"/>
      <w:szCs w:val="20"/>
    </w:rPr>
  </w:style>
  <w:style w:type="character" w:styleId="1554" w:customStyle="1">
    <w:name w:val="Char Char24"/>
    <w:uiPriority w:val="0"/>
    <w:qFormat/>
    <w:rPr>
      <w:rFonts w:eastAsia="宋体"/>
      <w:b/>
      <w:bCs/>
      <w:sz w:val="32"/>
      <w:szCs w:val="44"/>
      <w:lang w:val="en-US" w:eastAsia="zh-CN" w:bidi="ar-SA"/>
    </w:rPr>
  </w:style>
  <w:style w:type="character" w:styleId="1555" w:customStyle="1">
    <w:name w:val="Char Char20"/>
    <w:uiPriority w:val="0"/>
    <w:qFormat/>
    <w:rPr>
      <w:rFonts w:ascii="Times New Roman" w:hAnsi="Times New Roman" w:eastAsia="宋体" w:cs="Times New Roman"/>
      <w:b/>
      <w:bCs/>
      <w:sz w:val="24"/>
      <w:szCs w:val="32"/>
    </w:rPr>
  </w:style>
  <w:style w:type="character" w:styleId="1556" w:customStyle="1">
    <w:name w:val="书籍标题1"/>
    <w:uiPriority w:val="0"/>
    <w:qFormat/>
    <w:rPr>
      <w:b/>
      <w:bCs/>
      <w:smallCaps/>
      <w:spacing w:val="5"/>
    </w:rPr>
  </w:style>
  <w:style w:type="character" w:styleId="1557" w:customStyle="1">
    <w:name w:val="Keyboard"/>
    <w:uiPriority w:val="0"/>
    <w:qFormat/>
    <w:rPr>
      <w:rFonts w:ascii="Courier New" w:hAnsi="Courier New"/>
      <w:b/>
      <w:sz w:val="20"/>
    </w:rPr>
  </w:style>
  <w:style w:type="character" w:styleId="1558" w:customStyle="1">
    <w:name w:val="批注主题 字符1"/>
    <w:uiPriority w:val="99"/>
    <w:semiHidden/>
    <w:qFormat/>
    <w:rPr>
      <w:b/>
      <w:bCs/>
      <w:sz w:val="21"/>
      <w:szCs w:val="24"/>
    </w:rPr>
  </w:style>
  <w:style w:type="character" w:styleId="1559" w:customStyle="1">
    <w:name w:val="页脚 Char"/>
    <w:uiPriority w:val="99"/>
    <w:qFormat/>
    <w:rPr>
      <w:sz w:val="18"/>
      <w:szCs w:val="18"/>
    </w:rPr>
  </w:style>
  <w:style w:type="character" w:styleId="1560" w:customStyle="1">
    <w:name w:val="Title Char"/>
    <w:uiPriority w:val="0"/>
    <w:qFormat/>
    <w:rPr>
      <w:rFonts w:ascii="Cambria" w:hAnsi="Cambria"/>
      <w:b/>
      <w:sz w:val="32"/>
      <w:lang w:bidi="ar-SA"/>
    </w:rPr>
  </w:style>
  <w:style w:type="paragraph" w:styleId="1561" w:customStyle="1">
    <w:name w:val="三级标题"/>
    <w:basedOn w:val="1196"/>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562" w:customStyle="1">
    <w:name w:val="表格正文"/>
    <w:basedOn w:val="1097"/>
    <w:uiPriority w:val="0"/>
    <w:qFormat/>
    <w:pPr>
      <w:ind w:firstLine="200"/>
      <w:spacing w:line="360" w:lineRule="auto"/>
    </w:pPr>
    <w:rPr>
      <w:rFonts w:ascii="宋体" w:hAnsi="Times New Roman" w:eastAsia="宋体"/>
      <w:sz w:val="24"/>
      <w:szCs w:val="20"/>
    </w:rPr>
  </w:style>
  <w:style w:type="paragraph" w:styleId="1563" w:customStyle="1">
    <w:name w:val="标题 H5"/>
    <w:basedOn w:val="1097"/>
    <w:next w:val="1097"/>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564" w:customStyle="1">
    <w:name w:val="段"/>
    <w:basedOn w:val="1097"/>
    <w:uiPriority w:val="0"/>
    <w:qFormat/>
    <w:pPr>
      <w:ind w:firstLine="200"/>
      <w:spacing w:line="360" w:lineRule="auto"/>
      <w:widowControl/>
    </w:pPr>
    <w:rPr>
      <w:rFonts w:ascii="宋体" w:hAnsi="宋体" w:eastAsia="宋体" w:cs="宋体"/>
      <w:szCs w:val="21"/>
    </w:rPr>
  </w:style>
  <w:style w:type="paragraph" w:styleId="156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6" w:customStyle="1">
    <w:name w:val="标题 H4"/>
    <w:basedOn w:val="1097"/>
    <w:next w:val="1097"/>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567" w:customStyle="1">
    <w:name w:val="表格标题"/>
    <w:basedOn w:val="1097"/>
    <w:next w:val="1097"/>
    <w:uiPriority w:val="0"/>
    <w:qFormat/>
    <w:pPr>
      <w:jc w:val="left"/>
      <w:spacing w:after="160"/>
    </w:pPr>
    <w:rPr>
      <w:rFonts w:ascii="仿宋" w:hAnsi="仿宋" w:eastAsia="仿宋"/>
      <w:b/>
      <w:bCs/>
      <w:sz w:val="22"/>
      <w:szCs w:val="21"/>
    </w:rPr>
  </w:style>
  <w:style w:type="paragraph" w:styleId="1568" w:customStyle="1">
    <w:name w:val="xl46"/>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56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0" w:customStyle="1">
    <w:name w:val="xl370"/>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1" w:customStyle="1">
    <w:name w:val="k 正文"/>
    <w:basedOn w:val="1097"/>
    <w:uiPriority w:val="0"/>
    <w:qFormat/>
    <w:pPr>
      <w:ind w:firstLine="200"/>
      <w:spacing w:line="360" w:lineRule="auto"/>
    </w:pPr>
    <w:rPr>
      <w:rFonts w:ascii="Times New Roman" w:hAnsi="Times New Roman" w:eastAsia="宋体"/>
    </w:rPr>
  </w:style>
  <w:style w:type="paragraph" w:styleId="1572" w:customStyle="1">
    <w:name w:val="font17"/>
    <w:basedOn w:val="1097"/>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573" w:customStyle="1">
    <w:name w:val="H1"/>
    <w:basedOn w:val="1097"/>
    <w:next w:val="1097"/>
    <w:uiPriority w:val="0"/>
    <w:qFormat/>
    <w:pPr>
      <w:jc w:val="left"/>
      <w:keepNext/>
      <w:spacing w:before="100" w:after="100"/>
      <w:outlineLvl w:val="1"/>
    </w:pPr>
    <w:rPr>
      <w:rFonts w:ascii="Times New Roman" w:hAnsi="Times New Roman" w:eastAsia="宋体"/>
      <w:b/>
      <w:sz w:val="48"/>
      <w:szCs w:val="20"/>
    </w:rPr>
  </w:style>
  <w:style w:type="paragraph" w:styleId="1574" w:customStyle="1">
    <w:name w:val="Char"/>
    <w:basedOn w:val="1097"/>
    <w:uiPriority w:val="0"/>
    <w:qFormat/>
    <w:pPr>
      <w:jc w:val="left"/>
      <w:spacing w:after="160" w:line="240" w:lineRule="exact"/>
      <w:widowControl/>
    </w:pPr>
    <w:rPr>
      <w:rFonts w:ascii="Times New Roman" w:hAnsi="Times New Roman" w:eastAsia="宋体"/>
      <w:szCs w:val="24"/>
    </w:rPr>
  </w:style>
  <w:style w:type="paragraph" w:styleId="1575" w:customStyle="1">
    <w:name w:val="reader-word-layer"/>
    <w:basedOn w:val="1097"/>
    <w:uiPriority w:val="0"/>
    <w:qFormat/>
    <w:pPr>
      <w:jc w:val="left"/>
      <w:spacing w:before="100" w:beforeAutospacing="1" w:after="100" w:afterAutospacing="1"/>
      <w:widowControl/>
    </w:pPr>
    <w:rPr>
      <w:rFonts w:ascii="宋体" w:hAnsi="宋体" w:eastAsia="宋体" w:cs="宋体"/>
      <w:sz w:val="24"/>
      <w:szCs w:val="24"/>
    </w:rPr>
  </w:style>
  <w:style w:type="paragraph" w:styleId="1576" w:customStyle="1">
    <w:name w:val="xl66"/>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7" w:customStyle="1">
    <w:name w:val="xl78"/>
    <w:basedOn w:val="10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78" w:customStyle="1">
    <w:name w:val="xl36"/>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79" w:customStyle="1">
    <w:name w:val="xl25"/>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80" w:customStyle="1">
    <w:name w:val="目录文字"/>
    <w:basedOn w:val="1097"/>
    <w:uiPriority w:val="0"/>
    <w:qFormat/>
    <w:pPr>
      <w:jc w:val="left"/>
      <w:spacing w:line="480" w:lineRule="auto"/>
      <w:widowControl/>
    </w:pPr>
    <w:rPr>
      <w:rFonts w:ascii="宋体" w:hAnsi="宋体" w:eastAsia="宋体"/>
      <w:sz w:val="24"/>
      <w:szCs w:val="20"/>
    </w:rPr>
  </w:style>
  <w:style w:type="paragraph" w:styleId="1581" w:customStyle="1">
    <w:name w:val="列表段落2"/>
    <w:basedOn w:val="1097"/>
    <w:uiPriority w:val="0"/>
    <w:qFormat/>
    <w:pPr>
      <w:ind w:firstLine="420"/>
    </w:pPr>
    <w:rPr>
      <w:rFonts w:ascii="Times New Roman" w:hAnsi="Times New Roman" w:eastAsia="宋体"/>
      <w:szCs w:val="21"/>
    </w:rPr>
  </w:style>
  <w:style w:type="paragraph" w:styleId="1582" w:customStyle="1">
    <w:name w:val="空半行"/>
    <w:basedOn w:val="1097"/>
    <w:uiPriority w:val="0"/>
    <w:qFormat/>
    <w:pPr>
      <w:spacing w:line="120" w:lineRule="exact"/>
    </w:pPr>
    <w:rPr>
      <w:rFonts w:ascii="Times New Roman" w:hAnsi="Times New Roman" w:eastAsia="仿宋_GB2312"/>
      <w:color w:val="ffffff"/>
      <w:sz w:val="30"/>
      <w:szCs w:val="20"/>
    </w:rPr>
  </w:style>
  <w:style w:type="paragraph" w:styleId="1583" w:customStyle="1">
    <w:name w:val="xl42"/>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84" w:customStyle="1">
    <w:name w:val="xl45"/>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85" w:customStyle="1">
    <w:name w:val="内容文本"/>
    <w:basedOn w:val="1403"/>
    <w:uiPriority w:val="0"/>
    <w:qFormat/>
    <w:pPr>
      <w:contextualSpacing/>
      <w:ind w:firstLine="200"/>
      <w:jc w:val="left"/>
      <w:spacing w:line="360" w:lineRule="auto"/>
    </w:pPr>
    <w:rPr>
      <w:rFonts w:ascii="宋体" w:hAnsi="宋体" w:eastAsia="宋体"/>
      <w:sz w:val="24"/>
      <w:lang w:eastAsia="en-US" w:bidi="en-US"/>
    </w:rPr>
  </w:style>
  <w:style w:type="paragraph" w:styleId="1586" w:customStyle="1">
    <w:name w:val="font12"/>
    <w:basedOn w:val="1097"/>
    <w:uiPriority w:val="0"/>
    <w:qFormat/>
    <w:pPr>
      <w:jc w:val="left"/>
      <w:spacing w:before="100" w:beforeAutospacing="1" w:after="100" w:afterAutospacing="1"/>
      <w:widowControl/>
    </w:pPr>
    <w:rPr>
      <w:rFonts w:ascii="宋体" w:hAnsi="宋体" w:eastAsia="宋体" w:cs="宋体"/>
      <w:b/>
      <w:bCs/>
      <w:sz w:val="22"/>
    </w:rPr>
  </w:style>
  <w:style w:type="paragraph" w:styleId="1587" w:customStyle="1">
    <w:name w:val="1"/>
    <w:basedOn w:val="1097"/>
    <w:next w:val="1097"/>
    <w:uiPriority w:val="0"/>
    <w:qFormat/>
    <w:rPr>
      <w:rFonts w:ascii="Times New Roman" w:hAnsi="Times New Roman" w:eastAsia="宋体"/>
      <w:szCs w:val="24"/>
    </w:rPr>
  </w:style>
  <w:style w:type="paragraph" w:styleId="1588" w:customStyle="1">
    <w:name w:val="_Style 1"/>
    <w:basedOn w:val="1097"/>
    <w:uiPriority w:val="0"/>
    <w:qFormat/>
    <w:pPr>
      <w:ind w:firstLine="420"/>
    </w:pPr>
    <w:rPr>
      <w:rFonts w:ascii="Times New Roman" w:hAnsi="Times New Roman" w:eastAsia="宋体"/>
      <w:sz w:val="20"/>
      <w:szCs w:val="20"/>
    </w:rPr>
  </w:style>
  <w:style w:type="paragraph" w:styleId="1589" w:customStyle="1">
    <w:name w:val="xl6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0" w:customStyle="1">
    <w:name w:val="xl39"/>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91" w:customStyle="1">
    <w:name w:val="xl102"/>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92" w:customStyle="1">
    <w:name w:val="font7"/>
    <w:basedOn w:val="1097"/>
    <w:uiPriority w:val="0"/>
    <w:qFormat/>
    <w:pPr>
      <w:jc w:val="left"/>
      <w:spacing w:before="100" w:beforeAutospacing="1" w:after="100" w:afterAutospacing="1"/>
      <w:widowControl/>
    </w:pPr>
    <w:rPr>
      <w:rFonts w:ascii="宋体" w:hAnsi="宋体" w:eastAsia="宋体" w:cs="宋体"/>
      <w:sz w:val="16"/>
      <w:szCs w:val="16"/>
    </w:rPr>
  </w:style>
  <w:style w:type="paragraph" w:styleId="1593" w:customStyle="1">
    <w:name w:val="xl108"/>
    <w:basedOn w:val="109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94" w:customStyle="1">
    <w:name w:val="TOC 标题_0"/>
    <w:basedOn w:val="1595"/>
    <w:next w:val="1409"/>
    <w:uiPriority w:val="0"/>
    <w:qFormat/>
    <w:pPr>
      <w:outlineLvl w:val="9"/>
    </w:pPr>
    <w:rPr>
      <w:rFonts w:ascii="Calibri" w:hAnsi="Calibri"/>
    </w:rPr>
  </w:style>
  <w:style w:type="paragraph" w:styleId="1595" w:customStyle="1">
    <w:name w:val="标题 1_0"/>
    <w:basedOn w:val="1409"/>
    <w:next w:val="1409"/>
    <w:uiPriority w:val="0"/>
    <w:qFormat/>
    <w:pPr>
      <w:keepLines/>
      <w:keepNext/>
      <w:spacing w:before="340" w:after="330" w:line="576" w:lineRule="auto"/>
      <w:outlineLvl w:val="0"/>
    </w:pPr>
    <w:rPr>
      <w:b/>
      <w:bCs/>
      <w:sz w:val="44"/>
      <w:szCs w:val="44"/>
    </w:rPr>
  </w:style>
  <w:style w:type="paragraph" w:styleId="1596" w:customStyle="1">
    <w:name w:val="xl95"/>
    <w:basedOn w:val="10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97" w:customStyle="1">
    <w:name w:val="xl35"/>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98" w:customStyle="1">
    <w:name w:val="标题 3_0"/>
    <w:basedOn w:val="1409"/>
    <w:next w:val="1409"/>
    <w:uiPriority w:val="0"/>
    <w:qFormat/>
    <w:pPr>
      <w:keepLines/>
      <w:keepNext/>
      <w:spacing w:before="260" w:after="260" w:line="413" w:lineRule="auto"/>
      <w:outlineLvl w:val="2"/>
    </w:pPr>
    <w:rPr>
      <w:b/>
      <w:bCs/>
      <w:sz w:val="32"/>
      <w:szCs w:val="32"/>
    </w:rPr>
  </w:style>
  <w:style w:type="paragraph" w:styleId="1599" w:customStyle="1">
    <w:name w:val="xl37"/>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00" w:customStyle="1">
    <w:name w:val="xl23"/>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01" w:customStyle="1">
    <w:name w:val="Char Char6 Char Char Char Char"/>
    <w:basedOn w:val="1097"/>
    <w:uiPriority w:val="0"/>
    <w:qFormat/>
    <w:pPr>
      <w:jc w:val="left"/>
      <w:spacing w:after="160" w:line="240" w:lineRule="exact"/>
      <w:widowControl/>
    </w:pPr>
    <w:rPr>
      <w:rFonts w:ascii="仿宋_GB2312" w:hAnsi="Times New Roman" w:eastAsia="仿宋_GB2312"/>
      <w:sz w:val="32"/>
      <w:szCs w:val="32"/>
    </w:rPr>
  </w:style>
  <w:style w:type="paragraph" w:styleId="1602" w:customStyle="1">
    <w:name w:val="列出段落21"/>
    <w:basedOn w:val="1097"/>
    <w:uiPriority w:val="34"/>
    <w:qFormat/>
    <w:pPr>
      <w:ind w:firstLine="420"/>
    </w:pPr>
    <w:rPr>
      <w:rFonts w:ascii="Times New Roman" w:hAnsi="Times New Roman" w:eastAsia="宋体"/>
      <w:szCs w:val="20"/>
    </w:rPr>
  </w:style>
  <w:style w:type="paragraph" w:styleId="1603" w:customStyle="1">
    <w:name w:val="xl70"/>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4" w:customStyle="1">
    <w:name w:val="msonormal"/>
    <w:basedOn w:val="1097"/>
    <w:uiPriority w:val="0"/>
    <w:qFormat/>
    <w:pPr>
      <w:jc w:val="left"/>
      <w:spacing w:before="100" w:beforeAutospacing="1" w:after="100" w:afterAutospacing="1"/>
      <w:widowControl/>
    </w:pPr>
    <w:rPr>
      <w:rFonts w:ascii="宋体" w:hAnsi="宋体" w:eastAsia="宋体" w:cs="宋体"/>
      <w:sz w:val="24"/>
      <w:szCs w:val="24"/>
    </w:rPr>
  </w:style>
  <w:style w:type="paragraph" w:styleId="1605" w:customStyle="1">
    <w:name w:val="xl82"/>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06" w:customStyle="1">
    <w:name w:val="xl101"/>
    <w:basedOn w:val="109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07" w:customStyle="1">
    <w:name w:val="xl91"/>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08" w:customStyle="1">
    <w:name w:val="xl110"/>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09" w:customStyle="1">
    <w:name w:val="flNote"/>
    <w:basedOn w:val="1097"/>
    <w:uiPriority w:val="0"/>
    <w:qFormat/>
    <w:pPr>
      <w:jc w:val="center"/>
      <w:spacing w:before="320" w:after="160" w:line="360" w:lineRule="atLeast"/>
    </w:pPr>
    <w:rPr>
      <w:rFonts w:ascii="Arial" w:hAnsi="Times New Roman" w:eastAsia="黑体"/>
      <w:sz w:val="30"/>
      <w:szCs w:val="20"/>
    </w:rPr>
  </w:style>
  <w:style w:type="paragraph" w:styleId="1610" w:customStyle="1">
    <w:name w:val="xl98"/>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11" w:customStyle="1">
    <w:name w:val="Char Char Char Char"/>
    <w:basedOn w:val="1338"/>
    <w:uiPriority w:val="0"/>
    <w:qFormat/>
    <w:pPr>
      <w:spacing w:line="360" w:lineRule="auto"/>
    </w:pPr>
    <w:rPr>
      <w:rFonts w:ascii="Tahoma" w:hAnsi="Tahoma"/>
      <w:sz w:val="24"/>
      <w:szCs w:val="24"/>
    </w:rPr>
  </w:style>
  <w:style w:type="paragraph" w:styleId="1612" w:customStyle="1">
    <w:name w:val="xl71"/>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3" w:customStyle="1">
    <w:name w:val="样式 (西文) 仿宋_GB2312 居中 行距: 1.5 倍行距"/>
    <w:basedOn w:val="1097"/>
    <w:uiPriority w:val="0"/>
    <w:qFormat/>
    <w:pPr>
      <w:jc w:val="center"/>
      <w:spacing w:line="360" w:lineRule="auto"/>
    </w:pPr>
    <w:rPr>
      <w:rFonts w:ascii="宋体" w:hAnsi="宋体" w:eastAsia="宋体" w:cs="宋体"/>
      <w:szCs w:val="20"/>
    </w:rPr>
  </w:style>
  <w:style w:type="paragraph" w:styleId="1614" w:customStyle="1">
    <w:name w:val="xl80"/>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15" w:customStyle="1">
    <w:name w:val="H6"/>
    <w:basedOn w:val="1097"/>
    <w:next w:val="1097"/>
    <w:uiPriority w:val="0"/>
    <w:qFormat/>
    <w:pPr>
      <w:jc w:val="left"/>
      <w:keepNext/>
      <w:spacing w:before="100" w:after="100"/>
      <w:outlineLvl w:val="6"/>
    </w:pPr>
    <w:rPr>
      <w:rFonts w:ascii="Times New Roman" w:hAnsi="Times New Roman" w:eastAsia="宋体"/>
      <w:b/>
      <w:sz w:val="16"/>
      <w:szCs w:val="20"/>
    </w:rPr>
  </w:style>
  <w:style w:type="paragraph" w:styleId="1616" w:customStyle="1">
    <w:name w:val="菲页(卷)"/>
    <w:basedOn w:val="1316"/>
    <w:next w:val="1569"/>
    <w:uiPriority w:val="0"/>
    <w:qFormat/>
    <w:pPr>
      <w:ind w:left="1380" w:hanging="855"/>
      <w:tabs>
        <w:tab w:val="left" w:pos="1380" w:leader="none"/>
      </w:tabs>
      <w:outlineLvl w:val="1"/>
    </w:pPr>
  </w:style>
  <w:style w:type="paragraph" w:styleId="1617" w:customStyle="1">
    <w:name w:val="xl49"/>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18" w:customStyle="1">
    <w:name w:val="font18"/>
    <w:basedOn w:val="1097"/>
    <w:uiPriority w:val="0"/>
    <w:qFormat/>
    <w:pPr>
      <w:jc w:val="left"/>
      <w:spacing w:before="100" w:beforeAutospacing="1" w:after="100" w:afterAutospacing="1"/>
      <w:widowControl/>
    </w:pPr>
    <w:rPr>
      <w:rFonts w:ascii="Times New Roman" w:hAnsi="Times New Roman" w:eastAsia="宋体"/>
      <w:sz w:val="22"/>
    </w:rPr>
  </w:style>
  <w:style w:type="paragraph" w:styleId="1619" w:customStyle="1">
    <w:name w:val="样式 小四 段前: 5 磅 段后: 5 磅 首行缩进:  2 字符"/>
    <w:basedOn w:val="1097"/>
    <w:uiPriority w:val="0"/>
    <w:qFormat/>
    <w:pPr>
      <w:spacing w:line="360" w:lineRule="auto"/>
    </w:pPr>
    <w:rPr>
      <w:rFonts w:ascii="宋体" w:hAnsi="宋体" w:eastAsia="宋体"/>
      <w:szCs w:val="21"/>
    </w:rPr>
  </w:style>
  <w:style w:type="paragraph" w:styleId="1620" w:customStyle="1">
    <w:name w:val="xl81"/>
    <w:basedOn w:val="1097"/>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621" w:customStyle="1">
    <w:name w:val="font10"/>
    <w:basedOn w:val="1097"/>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622" w:customStyle="1">
    <w:name w:val="彩色列表1"/>
    <w:basedOn w:val="1097"/>
    <w:uiPriority w:val="99"/>
    <w:qFormat/>
    <w:pPr>
      <w:ind w:firstLine="420"/>
    </w:pPr>
    <w:rPr>
      <w:rFonts w:ascii="Calibri" w:hAnsi="Calibri" w:eastAsia="宋体"/>
    </w:rPr>
  </w:style>
  <w:style w:type="paragraph" w:styleId="1623" w:customStyle="1">
    <w:name w:val="xl104"/>
    <w:basedOn w:val="10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4" w:customStyle="1">
    <w:name w:val="_Style 9"/>
    <w:basedOn w:val="1097"/>
    <w:uiPriority w:val="0"/>
    <w:qFormat/>
    <w:pPr>
      <w:ind w:firstLine="420"/>
    </w:pPr>
    <w:rPr>
      <w:rFonts w:ascii="Calibri" w:hAnsi="Calibri" w:eastAsia="宋体"/>
      <w:szCs w:val="24"/>
    </w:rPr>
  </w:style>
  <w:style w:type="paragraph" w:styleId="1625">
    <w:name w:val="List Paragraph"/>
    <w:basedOn w:val="1097"/>
    <w:uiPriority w:val="0"/>
    <w:qFormat/>
    <w:pPr>
      <w:ind w:firstLine="420"/>
    </w:pPr>
    <w:rPr>
      <w:rFonts w:ascii="Times New Roman" w:hAnsi="Times New Roman" w:eastAsia="宋体"/>
      <w:szCs w:val="21"/>
    </w:rPr>
  </w:style>
  <w:style w:type="paragraph" w:styleId="1626" w:customStyle="1">
    <w:name w:val="xl43"/>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627" w:customStyle="1">
    <w:name w:val="xl51"/>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28" w:customStyle="1">
    <w:name w:val="xl31"/>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9" w:customStyle="1">
    <w:name w:val="标题_0"/>
    <w:basedOn w:val="1630"/>
    <w:uiPriority w:val="0"/>
    <w:qFormat/>
    <w:pPr>
      <w:jc w:val="center"/>
      <w:spacing w:before="120" w:after="120" w:line="360" w:lineRule="auto"/>
      <w:outlineLvl w:val="0"/>
    </w:pPr>
    <w:rPr>
      <w:rFonts w:ascii="黑体" w:hAnsi="Arial" w:eastAsia="黑体"/>
      <w:b/>
      <w:bCs/>
      <w:sz w:val="32"/>
      <w:szCs w:val="32"/>
    </w:rPr>
  </w:style>
  <w:style w:type="paragraph" w:styleId="1630" w:customStyle="1">
    <w:name w:val="正文_1"/>
    <w:uiPriority w:val="0"/>
    <w:qFormat/>
    <w:rPr>
      <w:rFonts w:hint="default" w:ascii="Times New Roman" w:hAnsi="Times New Roman" w:eastAsia="宋体" w:cs="Times New Roman"/>
      <w:sz w:val="21"/>
      <w:szCs w:val="22"/>
      <w:lang w:val="en-US" w:eastAsia="zh-CN" w:bidi="ar-SA"/>
    </w:rPr>
  </w:style>
  <w:style w:type="paragraph" w:styleId="1631" w:customStyle="1">
    <w:name w:val="Address"/>
    <w:basedOn w:val="1097"/>
    <w:next w:val="1097"/>
    <w:uiPriority w:val="0"/>
    <w:qFormat/>
    <w:pPr>
      <w:jc w:val="left"/>
    </w:pPr>
    <w:rPr>
      <w:rFonts w:ascii="Times New Roman" w:hAnsi="Times New Roman" w:eastAsia="宋体"/>
      <w:i/>
      <w:sz w:val="24"/>
      <w:szCs w:val="20"/>
    </w:rPr>
  </w:style>
  <w:style w:type="paragraph" w:styleId="1632" w:customStyle="1">
    <w:name w:val="xl367"/>
    <w:basedOn w:val="1097"/>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633" w:customStyle="1">
    <w:name w:val="Char11"/>
    <w:basedOn w:val="1097"/>
    <w:uiPriority w:val="0"/>
    <w:qFormat/>
    <w:rPr>
      <w:rFonts w:ascii="Times New Roman" w:hAnsi="Times New Roman" w:eastAsia="宋体"/>
      <w:szCs w:val="24"/>
    </w:rPr>
  </w:style>
  <w:style w:type="paragraph" w:styleId="1634" w:customStyle="1">
    <w:name w:val="xl38"/>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635" w:customStyle="1">
    <w:name w:val="Definition List"/>
    <w:basedOn w:val="1097"/>
    <w:next w:val="1636"/>
    <w:uiPriority w:val="0"/>
    <w:qFormat/>
    <w:pPr>
      <w:ind w:left="360"/>
      <w:jc w:val="left"/>
    </w:pPr>
    <w:rPr>
      <w:rFonts w:ascii="Times New Roman" w:hAnsi="Times New Roman" w:eastAsia="宋体"/>
      <w:sz w:val="24"/>
      <w:szCs w:val="20"/>
    </w:rPr>
  </w:style>
  <w:style w:type="paragraph" w:styleId="1636" w:customStyle="1">
    <w:name w:val="Definition Term"/>
    <w:basedOn w:val="1097"/>
    <w:next w:val="1635"/>
    <w:uiPriority w:val="0"/>
    <w:qFormat/>
    <w:pPr>
      <w:jc w:val="left"/>
    </w:pPr>
    <w:rPr>
      <w:rFonts w:ascii="Times New Roman" w:hAnsi="Times New Roman" w:eastAsia="宋体"/>
      <w:sz w:val="24"/>
      <w:szCs w:val="20"/>
    </w:rPr>
  </w:style>
  <w:style w:type="paragraph" w:styleId="1637" w:customStyle="1">
    <w:name w:val="font16"/>
    <w:basedOn w:val="1097"/>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638" w:customStyle="1">
    <w:name w:val="xl48"/>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3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0" w:customStyle="1">
    <w:name w:val="xl96"/>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641" w:customStyle="1">
    <w:name w:val="Char Char Char Char1"/>
    <w:basedOn w:val="1097"/>
    <w:uiPriority w:val="0"/>
    <w:qFormat/>
    <w:pPr>
      <w:jc w:val="left"/>
      <w:spacing w:after="160" w:line="240" w:lineRule="exact"/>
      <w:widowControl/>
    </w:pPr>
    <w:rPr>
      <w:rFonts w:ascii="Verdana" w:hAnsi="Verdana" w:eastAsia="宋体"/>
      <w:sz w:val="20"/>
      <w:szCs w:val="20"/>
      <w:lang w:eastAsia="en-US"/>
    </w:rPr>
  </w:style>
  <w:style w:type="paragraph" w:styleId="1642" w:customStyle="1">
    <w:name w:val="xl76"/>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3" w:customStyle="1">
    <w:name w:val="H5"/>
    <w:basedOn w:val="1097"/>
    <w:next w:val="1097"/>
    <w:uiPriority w:val="0"/>
    <w:qFormat/>
    <w:pPr>
      <w:jc w:val="left"/>
      <w:keepNext/>
      <w:spacing w:before="100" w:after="100"/>
      <w:outlineLvl w:val="5"/>
    </w:pPr>
    <w:rPr>
      <w:rFonts w:ascii="Times New Roman" w:hAnsi="Times New Roman" w:eastAsia="宋体"/>
      <w:b/>
      <w:sz w:val="20"/>
      <w:szCs w:val="20"/>
    </w:rPr>
  </w:style>
  <w:style w:type="paragraph" w:styleId="1644" w:customStyle="1">
    <w:name w:val="H4"/>
    <w:basedOn w:val="1097"/>
    <w:next w:val="1097"/>
    <w:uiPriority w:val="0"/>
    <w:qFormat/>
    <w:pPr>
      <w:jc w:val="left"/>
      <w:keepNext/>
      <w:spacing w:before="100" w:after="100"/>
      <w:outlineLvl w:val="4"/>
    </w:pPr>
    <w:rPr>
      <w:rFonts w:ascii="Times New Roman" w:hAnsi="Times New Roman" w:eastAsia="宋体"/>
      <w:b/>
      <w:sz w:val="24"/>
      <w:szCs w:val="20"/>
    </w:rPr>
  </w:style>
  <w:style w:type="paragraph" w:styleId="1645" w:customStyle="1">
    <w:name w:val="xl369"/>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46" w:customStyle="1">
    <w:name w:val="xl109"/>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47" w:customStyle="1">
    <w:name w:val="标题 4_0"/>
    <w:basedOn w:val="1409"/>
    <w:next w:val="1409"/>
    <w:uiPriority w:val="0"/>
    <w:qFormat/>
    <w:pPr>
      <w:keepLines/>
      <w:keepNext/>
      <w:spacing w:before="280" w:after="290" w:line="372" w:lineRule="auto"/>
      <w:outlineLvl w:val="3"/>
    </w:pPr>
    <w:rPr>
      <w:rFonts w:ascii="Cambria" w:hAnsi="Cambria"/>
      <w:b/>
      <w:bCs/>
      <w:sz w:val="28"/>
      <w:szCs w:val="28"/>
    </w:rPr>
  </w:style>
  <w:style w:type="paragraph" w:styleId="1648" w:customStyle="1">
    <w:name w:val="xl79"/>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49" w:customStyle="1">
    <w:name w:val="p0"/>
    <w:basedOn w:val="1097"/>
    <w:uiPriority w:val="0"/>
    <w:qFormat/>
    <w:pPr>
      <w:widowControl/>
    </w:pPr>
    <w:rPr>
      <w:rFonts w:ascii="Calibri" w:hAnsi="Calibri" w:eastAsia="宋体" w:cs="宋体"/>
      <w:szCs w:val="21"/>
    </w:rPr>
  </w:style>
  <w:style w:type="paragraph" w:styleId="1650" w:customStyle="1">
    <w:name w:val="font0"/>
    <w:basedOn w:val="1097"/>
    <w:uiPriority w:val="0"/>
    <w:qFormat/>
    <w:pPr>
      <w:jc w:val="left"/>
      <w:spacing w:before="100" w:beforeAutospacing="1" w:after="100" w:afterAutospacing="1"/>
      <w:widowControl/>
    </w:pPr>
    <w:rPr>
      <w:rFonts w:ascii="宋体" w:hAnsi="宋体" w:eastAsia="宋体" w:cs="宋体"/>
      <w:color w:val="000000"/>
      <w:sz w:val="22"/>
    </w:rPr>
  </w:style>
  <w:style w:type="paragraph" w:styleId="1651" w:customStyle="1">
    <w:name w:val="xl73"/>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52" w:customStyle="1">
    <w:name w:val="font14"/>
    <w:basedOn w:val="1097"/>
    <w:uiPriority w:val="0"/>
    <w:qFormat/>
    <w:pPr>
      <w:jc w:val="left"/>
      <w:spacing w:before="100" w:beforeAutospacing="1" w:after="100" w:afterAutospacing="1"/>
      <w:widowControl/>
    </w:pPr>
    <w:rPr>
      <w:rFonts w:ascii="宋体" w:hAnsi="宋体" w:eastAsia="宋体" w:cs="宋体"/>
      <w:sz w:val="12"/>
      <w:szCs w:val="12"/>
    </w:rPr>
  </w:style>
  <w:style w:type="paragraph" w:styleId="1653" w:customStyle="1">
    <w:name w:val="项目编号3"/>
    <w:basedOn w:val="1097"/>
    <w:next w:val="1097"/>
    <w:uiPriority w:val="0"/>
    <w:qFormat/>
    <w:pPr>
      <w:ind w:firstLine="200"/>
      <w:jc w:val="left"/>
      <w:spacing w:line="360" w:lineRule="auto"/>
      <w:tabs>
        <w:tab w:val="left" w:pos="855" w:leader="none"/>
      </w:tabs>
    </w:pPr>
    <w:rPr>
      <w:rFonts w:ascii="宋体" w:hAnsi="Times New Roman" w:eastAsia="宋体"/>
      <w:sz w:val="24"/>
      <w:szCs w:val="24"/>
    </w:rPr>
  </w:style>
  <w:style w:type="paragraph" w:styleId="1654" w:customStyle="1">
    <w:name w:val="xl40"/>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55"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656" w:customStyle="1">
    <w:name w:val="菲页2"/>
    <w:basedOn w:val="1196"/>
    <w:uiPriority w:val="0"/>
    <w:qFormat/>
    <w:pPr>
      <w:ind w:left="2265" w:hanging="900"/>
      <w:tabs>
        <w:tab w:val="left" w:pos="2265" w:leader="none"/>
      </w:tabs>
    </w:pPr>
    <w:rPr>
      <w:rFonts w:ascii="黑体" w:hAnsi="宋体" w:eastAsia="黑体"/>
      <w:b w:val="0"/>
      <w:sz w:val="44"/>
    </w:rPr>
  </w:style>
  <w:style w:type="paragraph" w:styleId="1657" w:customStyle="1">
    <w:name w:val="xl83"/>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58" w:customStyle="1">
    <w:name w:val="xl111"/>
    <w:basedOn w:val="10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59" w:customStyle="1">
    <w:name w:val="Char Char1 Char"/>
    <w:basedOn w:val="1097"/>
    <w:uiPriority w:val="0"/>
    <w:qFormat/>
    <w:pPr>
      <w:jc w:val="left"/>
      <w:spacing w:after="160" w:line="240" w:lineRule="exact"/>
      <w:widowControl/>
    </w:pPr>
    <w:rPr>
      <w:rFonts w:ascii="仿宋_GB2312" w:hAnsi="Times New Roman" w:eastAsia="仿宋_GB2312"/>
      <w:sz w:val="32"/>
      <w:szCs w:val="32"/>
    </w:rPr>
  </w:style>
  <w:style w:type="paragraph" w:styleId="1660" w:customStyle="1">
    <w:name w:val="样式 标题 2 + Times New Roman 四号 非加粗 段前: 5 磅 段后: 0 磅 行距: 固定值 20..."/>
    <w:basedOn w:val="1317"/>
    <w:uiPriority w:val="0"/>
    <w:qFormat/>
    <w:pPr>
      <w:jc w:val="center"/>
      <w:spacing w:before="100" w:after="0" w:line="400" w:lineRule="exact"/>
    </w:pPr>
    <w:rPr>
      <w:rFonts w:ascii="Times New Roman" w:hAnsi="Times New Roman" w:cs="宋体"/>
      <w:b w:val="0"/>
      <w:bCs w:val="0"/>
      <w:sz w:val="28"/>
      <w:szCs w:val="20"/>
    </w:rPr>
  </w:style>
  <w:style w:type="paragraph" w:styleId="1661" w:customStyle="1">
    <w:name w:val="font13"/>
    <w:basedOn w:val="1097"/>
    <w:uiPriority w:val="0"/>
    <w:qFormat/>
    <w:pPr>
      <w:jc w:val="left"/>
      <w:spacing w:before="100" w:beforeAutospacing="1" w:after="100" w:afterAutospacing="1"/>
      <w:widowControl/>
    </w:pPr>
    <w:rPr>
      <w:rFonts w:ascii="Times New Roman" w:hAnsi="Times New Roman" w:eastAsia="宋体"/>
      <w:b/>
      <w:bCs/>
      <w:sz w:val="22"/>
    </w:rPr>
  </w:style>
  <w:style w:type="paragraph" w:styleId="1662" w:customStyle="1">
    <w:name w:val="H3"/>
    <w:basedOn w:val="1097"/>
    <w:next w:val="1097"/>
    <w:uiPriority w:val="0"/>
    <w:qFormat/>
    <w:pPr>
      <w:jc w:val="left"/>
      <w:keepNext/>
      <w:spacing w:before="100" w:after="100"/>
      <w:outlineLvl w:val="3"/>
    </w:pPr>
    <w:rPr>
      <w:rFonts w:ascii="Times New Roman" w:hAnsi="Times New Roman" w:eastAsia="宋体"/>
      <w:b/>
      <w:sz w:val="28"/>
      <w:szCs w:val="20"/>
    </w:rPr>
  </w:style>
  <w:style w:type="paragraph" w:styleId="1663" w:customStyle="1">
    <w:name w:val="xl100"/>
    <w:basedOn w:val="109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64" w:customStyle="1">
    <w:name w:val="Char Char Char Char Char Char Char"/>
    <w:basedOn w:val="1097"/>
    <w:uiPriority w:val="0"/>
    <w:qFormat/>
    <w:pPr>
      <w:jc w:val="left"/>
      <w:spacing w:after="160" w:line="240" w:lineRule="exact"/>
      <w:widowControl/>
    </w:pPr>
    <w:rPr>
      <w:rFonts w:ascii="Times New Roman" w:hAnsi="Times New Roman" w:eastAsia="宋体"/>
      <w:szCs w:val="24"/>
    </w:rPr>
  </w:style>
  <w:style w:type="paragraph" w:styleId="1665" w:customStyle="1">
    <w:name w:val="xl90"/>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66" w:customStyle="1">
    <w:name w:val="xl365"/>
    <w:basedOn w:val="109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67" w:customStyle="1">
    <w:name w:val="正文文本_0"/>
    <w:basedOn w:val="1409"/>
    <w:uiPriority w:val="0"/>
    <w:qFormat/>
    <w:pPr>
      <w:ind w:left="72" w:right="30"/>
      <w:jc w:val="center"/>
      <w:spacing w:after="60" w:line="360" w:lineRule="atLeast"/>
    </w:pPr>
    <w:rPr>
      <w:sz w:val="20"/>
      <w:szCs w:val="20"/>
    </w:rPr>
  </w:style>
  <w:style w:type="paragraph" w:styleId="1668" w:customStyle="1">
    <w:name w:val="font11"/>
    <w:basedOn w:val="1097"/>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669" w:customStyle="1">
    <w:name w:val="修订1"/>
    <w:uiPriority w:val="0"/>
    <w:unhideWhenUsed/>
    <w:qFormat/>
    <w:rPr>
      <w:rFonts w:hint="default" w:ascii="Times New Roman" w:hAnsi="Times New Roman" w:eastAsia="宋体" w:cs="Times New Roman"/>
      <w:sz w:val="21"/>
      <w:lang w:val="en-US" w:eastAsia="zh-CN" w:bidi="ar-SA"/>
    </w:rPr>
  </w:style>
  <w:style w:type="paragraph" w:styleId="1670" w:customStyle="1">
    <w:name w:val="xl105"/>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671" w:customStyle="1">
    <w:name w:val="font6"/>
    <w:basedOn w:val="1097"/>
    <w:uiPriority w:val="0"/>
    <w:qFormat/>
    <w:pPr>
      <w:jc w:val="left"/>
      <w:spacing w:before="100" w:beforeAutospacing="1" w:after="100" w:afterAutospacing="1"/>
      <w:widowControl/>
    </w:pPr>
    <w:rPr>
      <w:rFonts w:ascii="宋体" w:hAnsi="宋体" w:eastAsia="宋体" w:cs="宋体"/>
      <w:sz w:val="22"/>
    </w:rPr>
  </w:style>
  <w:style w:type="paragraph" w:styleId="1672" w:customStyle="1">
    <w:name w:val="xl8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73" w:customStyle="1">
    <w:name w:val="默认段落字体 Para Char"/>
    <w:basedOn w:val="1097"/>
    <w:uiPriority w:val="0"/>
    <w:qFormat/>
    <w:pPr>
      <w:ind w:firstLine="200"/>
      <w:spacing w:line="360" w:lineRule="auto"/>
    </w:pPr>
    <w:rPr>
      <w:rFonts w:ascii="宋体" w:hAnsi="宋体" w:eastAsia="宋体" w:cs="宋体"/>
      <w:sz w:val="24"/>
      <w:szCs w:val="24"/>
    </w:rPr>
  </w:style>
  <w:style w:type="paragraph" w:styleId="1674" w:customStyle="1">
    <w:name w:val="纯文本3"/>
    <w:basedOn w:val="1097"/>
    <w:uiPriority w:val="0"/>
    <w:qFormat/>
    <w:rPr>
      <w:rFonts w:ascii="宋体" w:hAnsi="Courier New" w:eastAsia="楷体_GB2312"/>
      <w:sz w:val="26"/>
      <w:szCs w:val="20"/>
    </w:rPr>
  </w:style>
  <w:style w:type="paragraph" w:styleId="1675" w:customStyle="1">
    <w:name w:val="Char Char Char Char Char Char1 Char"/>
    <w:basedOn w:val="1097"/>
    <w:uiPriority w:val="0"/>
    <w:qFormat/>
    <w:pPr>
      <w:jc w:val="left"/>
      <w:spacing w:after="160" w:line="240" w:lineRule="exact"/>
      <w:widowControl/>
    </w:pPr>
    <w:rPr>
      <w:rFonts w:ascii="Verdana" w:hAnsi="Verdana" w:eastAsia="宋体"/>
      <w:szCs w:val="20"/>
      <w:lang w:eastAsia="en-US"/>
    </w:rPr>
  </w:style>
  <w:style w:type="paragraph" w:styleId="1676" w:customStyle="1">
    <w:name w:val="xl50"/>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77" w:customStyle="1">
    <w:name w:val="xl85"/>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78" w:customStyle="1">
    <w:name w:val="样式 标题 3 + (中文) 黑体 小四 非加粗 段前: 7.8 磅 段后: 0 磅 行距: 固定值 20 磅"/>
    <w:basedOn w:val="119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79" w:customStyle="1">
    <w:name w:val="xl94"/>
    <w:basedOn w:val="109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80" w:customStyle="1">
    <w:name w:val="表格"/>
    <w:basedOn w:val="1097"/>
    <w:uiPriority w:val="0"/>
    <w:qFormat/>
    <w:pPr>
      <w:jc w:val="center"/>
    </w:pPr>
    <w:rPr>
      <w:rFonts w:ascii="华文细黑" w:hAnsi="华文细黑" w:eastAsia="宋体"/>
      <w:szCs w:val="20"/>
    </w:rPr>
  </w:style>
  <w:style w:type="paragraph" w:styleId="1681" w:customStyle="1">
    <w:name w:val="默认段落字体 Para Char Char Char Char Char Char Char"/>
    <w:basedOn w:val="1097"/>
    <w:uiPriority w:val="0"/>
    <w:qFormat/>
    <w:rPr>
      <w:rFonts w:ascii="Tahoma" w:hAnsi="Tahoma" w:eastAsia="宋体"/>
      <w:sz w:val="24"/>
      <w:szCs w:val="20"/>
    </w:rPr>
  </w:style>
  <w:style w:type="paragraph" w:styleId="1682" w:customStyle="1">
    <w:name w:val="xl2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83" w:customStyle="1">
    <w:name w:val="xl9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84" w:customStyle="1">
    <w:name w:val="Char Char2"/>
    <w:basedOn w:val="1097"/>
    <w:uiPriority w:val="0"/>
    <w:qFormat/>
    <w:pPr>
      <w:spacing w:line="240" w:lineRule="exact"/>
    </w:pPr>
    <w:rPr>
      <w:rFonts w:ascii="Times New Roman" w:hAnsi="Times New Roman" w:eastAsia="宋体"/>
      <w:szCs w:val="24"/>
    </w:rPr>
  </w:style>
  <w:style w:type="paragraph" w:styleId="1685" w:customStyle="1">
    <w:name w:val="Blockquote"/>
    <w:basedOn w:val="1097"/>
    <w:uiPriority w:val="0"/>
    <w:qFormat/>
    <w:pPr>
      <w:ind w:left="360" w:right="360"/>
      <w:jc w:val="left"/>
      <w:spacing w:before="100" w:after="100"/>
    </w:pPr>
    <w:rPr>
      <w:rFonts w:ascii="Calibri" w:hAnsi="Calibri" w:eastAsia="宋体"/>
      <w:sz w:val="24"/>
      <w:szCs w:val="20"/>
    </w:rPr>
  </w:style>
  <w:style w:type="paragraph" w:styleId="1686" w:customStyle="1">
    <w:name w:val="xl371"/>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87" w:customStyle="1">
    <w:name w:val="Table Paragraph"/>
    <w:basedOn w:val="1097"/>
    <w:uiPriority w:val="0"/>
    <w:qFormat/>
    <w:pPr>
      <w:jc w:val="left"/>
    </w:pPr>
    <w:rPr>
      <w:rFonts w:ascii="PMingLiU" w:hAnsi="PMingLiU" w:eastAsia="PMingLiU" w:cs="PMingLiU"/>
      <w:sz w:val="22"/>
      <w:lang w:val="zh-CN" w:bidi="zh-CN"/>
    </w:rPr>
  </w:style>
  <w:style w:type="paragraph" w:styleId="1688" w:customStyle="1">
    <w:name w:val="xl69"/>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89" w:customStyle="1">
    <w:name w:val="xl97"/>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90" w:customStyle="1">
    <w:name w:val="xl106"/>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91" w:customStyle="1">
    <w:name w:val="font19"/>
    <w:basedOn w:val="1097"/>
    <w:uiPriority w:val="0"/>
    <w:qFormat/>
    <w:pPr>
      <w:jc w:val="left"/>
      <w:spacing w:before="100" w:beforeAutospacing="1" w:after="100" w:afterAutospacing="1"/>
      <w:widowControl/>
    </w:pPr>
    <w:rPr>
      <w:rFonts w:ascii="Times New Roman" w:hAnsi="Times New Roman" w:eastAsia="宋体"/>
      <w:sz w:val="12"/>
      <w:szCs w:val="12"/>
    </w:rPr>
  </w:style>
  <w:style w:type="paragraph" w:styleId="1692" w:customStyle="1">
    <w:name w:val="xl89"/>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93" w:customStyle="1">
    <w:name w:val="_Style 37"/>
    <w:basedOn w:val="1097"/>
    <w:next w:val="1097"/>
    <w:uiPriority w:val="0"/>
    <w:qFormat/>
    <w:rPr>
      <w:rFonts w:ascii="Times New Roman" w:hAnsi="Times New Roman" w:eastAsia="宋体"/>
      <w:szCs w:val="24"/>
    </w:rPr>
  </w:style>
  <w:style w:type="paragraph" w:styleId="1694" w:customStyle="1">
    <w:name w:val="font15"/>
    <w:basedOn w:val="1097"/>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95" w:customStyle="1">
    <w:name w:val="目录"/>
    <w:basedOn w:val="1097"/>
    <w:uiPriority w:val="0"/>
    <w:qFormat/>
    <w:pPr>
      <w:jc w:val="center"/>
      <w:widowControl/>
    </w:pPr>
    <w:rPr>
      <w:rFonts w:ascii="宋体" w:hAnsi="Times New Roman" w:eastAsia="宋体"/>
      <w:b/>
      <w:sz w:val="36"/>
      <w:szCs w:val="20"/>
    </w:rPr>
  </w:style>
  <w:style w:type="paragraph" w:styleId="1696" w:customStyle="1">
    <w:name w:val="2-2ji"/>
    <w:basedOn w:val="1317"/>
    <w:uiPriority w:val="0"/>
    <w:qFormat/>
    <w:pPr>
      <w:jc w:val="center"/>
      <w:spacing w:before="0" w:after="0" w:line="360" w:lineRule="auto"/>
    </w:pPr>
    <w:rPr>
      <w:rFonts w:ascii="宋体" w:hAnsi="宋体" w:eastAsia="宋体"/>
      <w:sz w:val="36"/>
      <w:szCs w:val="24"/>
    </w:rPr>
  </w:style>
  <w:style w:type="paragraph" w:styleId="1697" w:customStyle="1">
    <w:name w:val="xl7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98" w:customStyle="1">
    <w:name w:val="List Paragraph1"/>
    <w:basedOn w:val="1097"/>
    <w:uiPriority w:val="0"/>
    <w:qFormat/>
    <w:pPr>
      <w:ind w:firstLine="420"/>
    </w:pPr>
    <w:rPr>
      <w:rFonts w:ascii="Times New Roman" w:hAnsi="Times New Roman" w:eastAsia="宋体"/>
      <w:szCs w:val="21"/>
    </w:rPr>
  </w:style>
  <w:style w:type="paragraph" w:styleId="1699" w:customStyle="1">
    <w:name w:val="TOC 标题2"/>
    <w:basedOn w:val="1316"/>
    <w:next w:val="109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700" w:customStyle="1">
    <w:name w:val="xl103"/>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701" w:customStyle="1">
    <w:name w:val="font9"/>
    <w:basedOn w:val="1097"/>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702" w:customStyle="1">
    <w:name w:val="xl366"/>
    <w:basedOn w:val="109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703" w:customStyle="1">
    <w:name w:val="样式 标题 1 + 黑体 三号 非加粗 居中 段前: 6 磅 段后: 6 磅 行距: 固定值 20 磅"/>
    <w:basedOn w:val="1316"/>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704" w:customStyle="1">
    <w:name w:val="xl107"/>
    <w:basedOn w:val="109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705" w:customStyle="1">
    <w:name w:val="xl368"/>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06" w:customStyle="1">
    <w:name w:val="xl68"/>
    <w:basedOn w:val="1097"/>
    <w:uiPriority w:val="0"/>
    <w:qFormat/>
    <w:pPr>
      <w:jc w:val="center"/>
      <w:spacing w:before="100" w:beforeAutospacing="1" w:after="100" w:afterAutospacing="1"/>
      <w:widowControl/>
    </w:pPr>
    <w:rPr>
      <w:rFonts w:ascii="宋体" w:hAnsi="宋体" w:eastAsia="宋体" w:cs="宋体"/>
      <w:sz w:val="20"/>
      <w:szCs w:val="20"/>
    </w:rPr>
  </w:style>
  <w:style w:type="paragraph" w:styleId="1707" w:customStyle="1">
    <w:name w:val="样式1"/>
    <w:basedOn w:val="1097"/>
    <w:uiPriority w:val="0"/>
    <w:qFormat/>
    <w:pPr>
      <w:spacing w:before="120" w:after="120" w:line="300" w:lineRule="auto"/>
    </w:pPr>
    <w:rPr>
      <w:rFonts w:ascii="宋体" w:hAnsi="宋体" w:eastAsia="宋体"/>
      <w:b/>
      <w:sz w:val="24"/>
      <w:szCs w:val="20"/>
    </w:rPr>
  </w:style>
  <w:style w:type="paragraph" w:styleId="1708" w:customStyle="1">
    <w:name w:val="xl88"/>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709" w:customStyle="1">
    <w:name w:val="xl84"/>
    <w:basedOn w:val="1097"/>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71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711" w:customStyle="1">
    <w:name w:val="xl4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12" w:customStyle="1">
    <w:name w:val="z-Bottom of Form"/>
    <w:next w:val="109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713" w:customStyle="1">
    <w:name w:val="z-Top of Form"/>
    <w:next w:val="109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714" w:customStyle="1">
    <w:name w:val="xl26"/>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715" w:customStyle="1">
    <w:name w:val="xl3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716" w:customStyle="1">
    <w:name w:val="Char Char Char Char Char Char Char Char Char Char"/>
    <w:basedOn w:val="1097"/>
    <w:uiPriority w:val="0"/>
    <w:qFormat/>
    <w:pPr>
      <w:ind w:left="432" w:hanging="432"/>
      <w:tabs>
        <w:tab w:val="left" w:pos="898" w:leader="none"/>
      </w:tabs>
    </w:pPr>
    <w:rPr>
      <w:rFonts w:ascii="Times New Roman" w:hAnsi="Times New Roman" w:eastAsia="宋体"/>
      <w:sz w:val="24"/>
      <w:szCs w:val="24"/>
    </w:rPr>
  </w:style>
  <w:style w:type="paragraph" w:styleId="1717" w:customStyle="1">
    <w:name w:val="xl41"/>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718" w:customStyle="1">
    <w:name w:val="xl29"/>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719" w:customStyle="1">
    <w:name w:val="菲页1"/>
    <w:basedOn w:val="1317"/>
    <w:uiPriority w:val="0"/>
    <w:qFormat/>
    <w:pPr>
      <w:jc w:val="center"/>
      <w:spacing w:before="312" w:after="312" w:line="360" w:lineRule="auto"/>
      <w:widowControl/>
    </w:pPr>
    <w:rPr>
      <w:rFonts w:ascii="黑体" w:hAnsi="宋体"/>
      <w:b w:val="0"/>
      <w:color w:val="000000"/>
      <w:sz w:val="52"/>
      <w:szCs w:val="20"/>
    </w:rPr>
  </w:style>
  <w:style w:type="paragraph" w:styleId="1720" w:customStyle="1">
    <w:name w:val="xl33"/>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721" w:customStyle="1">
    <w:name w:val="font8"/>
    <w:basedOn w:val="1097"/>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722" w:customStyle="1">
    <w:name w:val="xl93"/>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723" w:customStyle="1">
    <w:name w:val="Char Char Char Char Char Char Char Char Char Char1"/>
    <w:basedOn w:val="1097"/>
    <w:uiPriority w:val="0"/>
    <w:qFormat/>
    <w:pPr>
      <w:ind w:left="315" w:hanging="315"/>
      <w:tabs>
        <w:tab w:val="left" w:pos="315" w:leader="none"/>
      </w:tabs>
    </w:pPr>
    <w:rPr>
      <w:rFonts w:ascii="Times New Roman" w:hAnsi="Times New Roman" w:eastAsia="宋体"/>
      <w:sz w:val="24"/>
      <w:szCs w:val="24"/>
    </w:rPr>
  </w:style>
  <w:style w:type="paragraph" w:styleId="1724" w:customStyle="1">
    <w:name w:val="xl2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725" w:customStyle="1">
    <w:name w:val="默认段落字体 Para Char Char Char"/>
    <w:basedOn w:val="1097"/>
    <w:uiPriority w:val="0"/>
    <w:qFormat/>
    <w:rPr>
      <w:rFonts w:ascii="Times New Roman" w:hAnsi="Times New Roman" w:eastAsia="宋体"/>
      <w:szCs w:val="24"/>
    </w:rPr>
  </w:style>
  <w:style w:type="paragraph" w:styleId="1726"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7" w:customStyle="1">
    <w:name w:val="文档正文"/>
    <w:basedOn w:val="1097"/>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728" w:customStyle="1">
    <w:name w:val="font5"/>
    <w:basedOn w:val="1097"/>
    <w:uiPriority w:val="0"/>
    <w:qFormat/>
    <w:pPr>
      <w:jc w:val="left"/>
      <w:spacing w:before="100" w:beforeAutospacing="1" w:after="100" w:afterAutospacing="1"/>
      <w:widowControl/>
    </w:pPr>
    <w:rPr>
      <w:rFonts w:ascii="宋体" w:hAnsi="宋体" w:eastAsia="宋体" w:cs="宋体"/>
      <w:sz w:val="18"/>
      <w:szCs w:val="18"/>
    </w:rPr>
  </w:style>
  <w:style w:type="paragraph" w:styleId="1729" w:customStyle="1">
    <w:name w:val="xl44"/>
    <w:basedOn w:val="1097"/>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730" w:customStyle="1">
    <w:name w:val="正文缩进_0"/>
    <w:basedOn w:val="1630"/>
    <w:uiPriority w:val="0"/>
    <w:qFormat/>
    <w:pPr>
      <w:ind w:firstLine="420"/>
      <w:jc w:val="both"/>
      <w:widowControl w:val="off"/>
    </w:pPr>
    <w:rPr>
      <w:u w:val="single"/>
    </w:rPr>
  </w:style>
  <w:style w:type="paragraph" w:styleId="1731" w:customStyle="1">
    <w:name w:val="xl364"/>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32" w:customStyle="1">
    <w:name w:val="Preformatted"/>
    <w:basedOn w:val="109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733" w:customStyle="1">
    <w:name w:val="xl11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734" w:customStyle="1">
    <w:name w:val="H2"/>
    <w:basedOn w:val="1097"/>
    <w:next w:val="1097"/>
    <w:uiPriority w:val="0"/>
    <w:qFormat/>
    <w:pPr>
      <w:jc w:val="left"/>
      <w:keepNext/>
      <w:spacing w:before="100" w:after="100"/>
      <w:outlineLvl w:val="2"/>
    </w:pPr>
    <w:rPr>
      <w:rFonts w:ascii="Times New Roman" w:hAnsi="Times New Roman" w:eastAsia="宋体"/>
      <w:b/>
      <w:sz w:val="36"/>
      <w:szCs w:val="20"/>
    </w:rPr>
  </w:style>
  <w:style w:type="paragraph" w:styleId="1735" w:customStyle="1">
    <w:name w:val="xl74"/>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736" w:customStyle="1">
    <w:name w:val="xl86"/>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737" w:customStyle="1">
    <w:name w:val="xl7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38" w:customStyle="1">
    <w:name w:val="xl24"/>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739" w:customStyle="1">
    <w:name w:val="xl75"/>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40" w:customStyle="1">
    <w:name w:val="xl362"/>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41" w:customStyle="1">
    <w:name w:val="xl30"/>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742" w:customStyle="1">
    <w:name w:val="xl34"/>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743" w:customStyle="1">
    <w:name w:val="xl99"/>
    <w:basedOn w:val="10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44" w:customStyle="1">
    <w:name w:val="xl363"/>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45" w:customStyle="1">
    <w:name w:val="Char1"/>
    <w:basedOn w:val="1097"/>
    <w:uiPriority w:val="0"/>
    <w:qFormat/>
    <w:pPr>
      <w:jc w:val="left"/>
      <w:spacing w:after="160" w:line="240" w:lineRule="exact"/>
      <w:widowControl/>
    </w:pPr>
    <w:rPr>
      <w:rFonts w:ascii="Times New Roman" w:hAnsi="Times New Roman" w:eastAsia="宋体"/>
      <w:szCs w:val="24"/>
    </w:rPr>
  </w:style>
  <w:style w:type="paragraph" w:styleId="1746" w:customStyle="1">
    <w:name w:val="xl28"/>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747" w:customStyle="1">
    <w:name w:val="TOC 标题11"/>
    <w:basedOn w:val="1097"/>
    <w:next w:val="1097"/>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748" w:customStyle="1">
    <w:name w:val="标题 H3"/>
    <w:basedOn w:val="1097"/>
    <w:next w:val="1097"/>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749" w:customStyle="1">
    <w:name w:val="标题 H2"/>
    <w:basedOn w:val="1097"/>
    <w:next w:val="1097"/>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750" w:customStyle="1">
    <w:name w:val="_Style 16"/>
    <w:basedOn w:val="1097"/>
    <w:next w:val="1403"/>
    <w:uiPriority w:val="99"/>
    <w:qFormat/>
    <w:pPr>
      <w:ind w:firstLine="420"/>
      <w:spacing w:line="360" w:lineRule="auto"/>
    </w:pPr>
    <w:rPr>
      <w:rFonts w:ascii="Calibri" w:hAnsi="Calibri" w:eastAsia="宋体"/>
      <w:sz w:val="24"/>
    </w:rPr>
  </w:style>
  <w:style w:type="table" w:styleId="1751" w:customStyle="1">
    <w:name w:val="网格型1"/>
    <w:basedOn w:val="1326"/>
    <w:uiPriority w:val="39"/>
    <w:qFormat/>
    <w:tblPr/>
  </w:style>
  <w:style w:type="table" w:styleId="1752" w:customStyle="1">
    <w:name w:val="自定网格1"/>
    <w:basedOn w:val="1326"/>
    <w:uiPriority w:val="39"/>
    <w:qFormat/>
    <w:pPr>
      <w:jc w:val="both"/>
      <w:widowControl w:val="off"/>
    </w:pPr>
    <w:tblPr/>
  </w:style>
  <w:style w:type="table" w:styleId="1753" w:customStyle="1">
    <w:name w:val="网格型2"/>
    <w:basedOn w:val="1326"/>
    <w:uiPriority w:val="39"/>
    <w:qFormat/>
    <w:pPr>
      <w:jc w:val="both"/>
      <w:widowControl w:val="off"/>
    </w:pPr>
    <w:tblPr/>
  </w:style>
  <w:style w:type="character" w:styleId="1754" w:customStyle="1">
    <w:name w:val="NormalCharacter1"/>
    <w:uiPriority w:val="0"/>
    <w:qFormat/>
  </w:style>
  <w:style w:type="character" w:styleId="1755" w:customStyle="1">
    <w:name w:val="列出段落 Char"/>
    <w:uiPriority w:val="34"/>
    <w:qFormat/>
    <w:rPr>
      <w:sz w:val="21"/>
      <w:szCs w:val="24"/>
    </w:rPr>
  </w:style>
  <w:style w:type="table" w:styleId="1756" w:customStyle="1">
    <w:name w:val="网格型3"/>
    <w:basedOn w:val="1326"/>
    <w:uiPriority w:val="39"/>
    <w:qFormat/>
    <w:rPr>
      <w:rFonts w:ascii="Calibri" w:hAnsi="Calibri"/>
    </w:rPr>
    <w:tblPr/>
  </w:style>
  <w:style w:type="table" w:styleId="1757" w:customStyle="1">
    <w:name w:val="网格型4"/>
    <w:basedOn w:val="1326"/>
    <w:uiPriority w:val="39"/>
    <w:qFormat/>
    <w:rPr>
      <w:rFonts w:ascii="Calibri" w:hAnsi="Calibri"/>
    </w:rPr>
    <w:tblPr/>
  </w:style>
  <w:style w:type="table" w:styleId="1758" w:customStyle="1">
    <w:name w:val="网格型5"/>
    <w:basedOn w:val="1326"/>
    <w:uiPriority w:val="39"/>
    <w:qFormat/>
    <w:rPr>
      <w:rFonts w:ascii="Calibri" w:hAnsi="Calibri"/>
    </w:rPr>
    <w:tblPr/>
  </w:style>
  <w:style w:type="table" w:styleId="1759" w:customStyle="1">
    <w:name w:val="网格型6"/>
    <w:basedOn w:val="1326"/>
    <w:uiPriority w:val="39"/>
    <w:qFormat/>
    <w:rPr>
      <w:rFonts w:ascii="Calibri" w:hAnsi="Calibri"/>
    </w:rPr>
    <w:tblPr/>
  </w:style>
  <w:style w:type="paragraph" w:styleId="1760" w:customStyle="1">
    <w:name w:val="引文目录1"/>
    <w:basedOn w:val="1097"/>
    <w:next w:val="1097"/>
    <w:uiPriority w:val="0"/>
    <w:qFormat/>
    <w:pPr>
      <w:ind w:left="420"/>
    </w:pPr>
  </w:style>
  <w:style w:type="paragraph" w:styleId="1761" w:customStyle="1">
    <w:name w:val="Table Text"/>
    <w:basedOn w:val="1097"/>
    <w:uiPriority w:val="0"/>
    <w:semiHidden/>
    <w:qFormat/>
    <w:rPr>
      <w:rFonts w:ascii="宋体" w:hAnsi="宋体" w:eastAsia="宋体" w:cs="宋体"/>
      <w:sz w:val="19"/>
      <w:szCs w:val="19"/>
      <w:lang w:eastAsia="en-US"/>
    </w:rPr>
  </w:style>
  <w:style w:type="table" w:styleId="1762" w:customStyle="1">
    <w:name w:val="Table Normal"/>
    <w:uiPriority w:val="0"/>
    <w:semiHidden/>
    <w:unhideWhenUsed/>
    <w:qFormat/>
    <w:tblPr>
      <w:tblCellMar>
        <w:left w:w="0" w:type="dxa"/>
        <w:top w:w="0" w:type="dxa"/>
        <w:right w:w="0" w:type="dxa"/>
        <w:bottom w:w="0" w:type="dxa"/>
      </w:tblCellMar>
    </w:tblPr>
  </w:style>
  <w:style w:type="character" w:styleId="1763" w:customStyle="1">
    <w:name w:val="font112"/>
    <w:basedOn w:val="1107"/>
    <w:uiPriority w:val="0"/>
    <w:qFormat/>
    <w:rPr>
      <w:rFonts w:hint="eastAsia" w:ascii="宋体" w:hAnsi="宋体" w:eastAsia="宋体" w:cs="宋体"/>
      <w:color w:val="000000"/>
      <w:sz w:val="20"/>
      <w:szCs w:val="20"/>
      <w:u w:val="none"/>
    </w:rPr>
  </w:style>
  <w:style w:type="paragraph" w:styleId="1764" w:customStyle="1">
    <w:name w:val="索引 411"/>
    <w:basedOn w:val="1097"/>
    <w:next w:val="1097"/>
    <w:uiPriority w:val="99"/>
    <w:qFormat/>
    <w:pPr>
      <w:ind w:left="600"/>
    </w:pPr>
    <w:rPr>
      <w:szCs w:val="24"/>
    </w:rPr>
  </w:style>
  <w:style w:type="paragraph" w:styleId="1765" w:customStyle="1">
    <w:name w:val="正文文本11"/>
    <w:basedOn w:val="1097"/>
    <w:next w:val="1766"/>
    <w:uiPriority w:val="0"/>
    <w:semiHidden/>
    <w:qFormat/>
    <w:rPr>
      <w:rFonts w:ascii="宋体" w:hAnsi="宋体" w:eastAsia="宋体" w:cs="宋体"/>
      <w:sz w:val="24"/>
      <w:szCs w:val="24"/>
      <w:lang w:eastAsia="en-US"/>
    </w:rPr>
  </w:style>
  <w:style w:type="paragraph" w:styleId="1766" w:customStyle="1">
    <w:name w:val="副标题11"/>
    <w:basedOn w:val="1097"/>
    <w:next w:val="1097"/>
    <w:uiPriority w:val="11"/>
    <w:qFormat/>
    <w:pPr>
      <w:spacing w:before="200" w:after="200"/>
    </w:pPr>
    <w:rPr>
      <w:sz w:val="24"/>
      <w:szCs w:val="24"/>
    </w:rPr>
  </w:style>
  <w:style w:type="paragraph" w:styleId="1767" w:customStyle="1">
    <w:name w:val="页眉11"/>
    <w:basedOn w:val="1097"/>
    <w:uiPriority w:val="99"/>
    <w:unhideWhenUsed/>
    <w:qFormat/>
    <w:pPr>
      <w:tabs>
        <w:tab w:val="center" w:pos="7143" w:leader="none"/>
        <w:tab w:val="right" w:pos="14287" w:leader="none"/>
      </w:tabs>
    </w:pPr>
  </w:style>
  <w:style w:type="character" w:styleId="1768" w:customStyle="1">
    <w:name w:val="font281"/>
    <w:basedOn w:val="1325"/>
    <w:link w:val="1097"/>
    <w:uiPriority w:val="0"/>
    <w:qFormat/>
    <w:rPr>
      <w:rFonts w:hint="eastAsia" w:ascii="宋体" w:hAnsi="宋体" w:eastAsia="宋体" w:cs="宋体"/>
      <w:b/>
      <w:bCs/>
      <w:color w:val="000000"/>
      <w:sz w:val="18"/>
      <w:szCs w:val="18"/>
      <w:u w:val="none"/>
    </w:rPr>
  </w:style>
  <w:style w:type="paragraph" w:styleId="1769"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770" w:customStyle="1">
    <w:name w:val="Heading 2"/>
    <w:next w:val="1097"/>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numbering" w:styleId="30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殷孟娜</cp:lastModifiedBy>
  <cp:revision>22</cp:revision>
  <dcterms:created xsi:type="dcterms:W3CDTF">2024-05-21T08:20:00Z</dcterms:created>
  <dcterms:modified xsi:type="dcterms:W3CDTF">2026-07-13T06:26:37Z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3728FD017C8F49F999A9370C30268726_13</vt:lpwstr>
  </property>
  <property fmtid="{D5CDD505-2E9C-101B-9397-08002B2CF9AE}" pid="4" name="KSOTemplateDocerSaveRecord">
    <vt:lpwstr>eyJoZGlkIjoiZGYwOGRkZGI2ZjE4ZTQ5YTg4MGJjMDhkZWJlMzFjMjMiLCJ1c2VySWQiOiIxMDQ0OTczNTkyIn0=</vt:lpwstr>
  </property>
</Properties>
</file>